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header3.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header1.xml" ContentType="application/vnd.openxmlformats-officedocument.wordprocessingml.header+xml"/>
  <Override PartName="/word/numbering.xml" ContentType="application/vnd.openxmlformats-officedocument.wordprocessingml.numbering+xml"/>
  <Override PartName="/word/header4.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header7.xml" ContentType="application/vnd.openxmlformats-officedocument.wordprocessingml.header+xml"/>
  <Override PartName="/word/header6.xml" ContentType="application/vnd.openxmlformats-officedocument.wordprocessingml.header+xml"/>
  <Override PartName="/word/header5.xml" ContentType="application/vnd.openxmlformats-officedocument.wordprocessingml.header+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jc w:val="right"/>
        <w:rPr>
          <w:rFonts w:cs="Times New Roman"/>
          <w:color w:val="auto"/>
          <w:sz w:val="26"/>
          <w:szCs w:val="26"/>
          <w:lang w:eastAsia="ru-RU" w:bidi="ar-SA"/>
        </w:rPr>
      </w:pPr>
      <w:r>
        <w:rPr>
          <w:rFonts w:cs="Times New Roman"/>
          <w:color w:val="auto"/>
          <w:sz w:val="26"/>
          <w:szCs w:val="26"/>
          <w:lang w:eastAsia="ru-RU" w:bidi="ar-SA"/>
        </w:rPr>
        <w:t xml:space="preserve">    </w:t>
      </w:r>
    </w:p>
    <w:tbl>
      <w:tblPr>
        <w:tblStyle w:val="af4"/>
        <w:tblW w:w="9921" w:type="dxa"/>
        <w:jc w:val="right"/>
        <w:tblInd w:w="0" w:type="dxa"/>
        <w:tblLayout w:type="fixed"/>
        <w:tblCellMar>
          <w:top w:w="0" w:type="dxa"/>
          <w:left w:w="108" w:type="dxa"/>
          <w:bottom w:w="0" w:type="dxa"/>
          <w:right w:w="108" w:type="dxa"/>
        </w:tblCellMar>
        <w:tblLook w:noVBand="1" w:val="04a0" w:noHBand="0" w:lastColumn="0" w:firstColumn="1" w:lastRow="0" w:firstRow="1"/>
      </w:tblPr>
      <w:tblGrid>
        <w:gridCol w:w="4665"/>
        <w:gridCol w:w="722"/>
        <w:gridCol w:w="4534"/>
      </w:tblGrid>
      <w:tr>
        <w:trPr/>
        <w:tc>
          <w:tcPr>
            <w:tcW w:w="4665"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b/>
                <w:bCs/>
                <w:color w:val="auto"/>
                <w:sz w:val="20"/>
                <w:lang w:bidi="ar-SA"/>
              </w:rPr>
            </w:pPr>
            <w:r>
              <w:rPr>
                <w:rFonts w:cs="Times New Roman"/>
                <w:b/>
                <w:bCs/>
                <w:color w:val="auto"/>
                <w:sz w:val="20"/>
                <w:szCs w:val="20"/>
                <w:lang w:val="ru-RU" w:eastAsia="ru-RU" w:bidi="ar-SA"/>
              </w:rPr>
              <w:t>«ПОДГОТОВИЛ»</w:t>
            </w:r>
          </w:p>
        </w:tc>
        <w:tc>
          <w:tcPr>
            <w:tcW w:w="722"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b/>
                <w:bCs/>
                <w:color w:val="auto"/>
                <w:sz w:val="20"/>
                <w:lang w:bidi="ar-SA"/>
              </w:rPr>
            </w:pPr>
            <w:r>
              <w:rPr>
                <w:rFonts w:cs="Times New Roman"/>
                <w:b/>
                <w:bCs/>
                <w:color w:val="auto"/>
                <w:sz w:val="20"/>
                <w:lang w:bidi="ar-SA"/>
              </w:rPr>
            </w:r>
          </w:p>
        </w:tc>
        <w:tc>
          <w:tcPr>
            <w:tcW w:w="4534"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b/>
                <w:bCs/>
                <w:color w:val="auto"/>
                <w:sz w:val="20"/>
                <w:lang w:bidi="ar-SA"/>
              </w:rPr>
            </w:pPr>
            <w:r>
              <w:rPr>
                <w:rFonts w:cs="Times New Roman"/>
                <w:b/>
                <w:bCs/>
                <w:color w:val="auto"/>
                <w:sz w:val="20"/>
                <w:szCs w:val="20"/>
                <w:lang w:val="ru-RU" w:eastAsia="ru-RU" w:bidi="ar-SA"/>
              </w:rPr>
              <w:t>«УТВЕРЖДАЮ»</w:t>
            </w:r>
          </w:p>
        </w:tc>
      </w:tr>
      <w:tr>
        <w:trPr/>
        <w:tc>
          <w:tcPr>
            <w:tcW w:w="4665"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szCs w:val="20"/>
                <w:lang w:val="ru-RU" w:eastAsia="ru-RU" w:bidi="ar-SA"/>
              </w:rPr>
              <w:t>Технический куратор договора</w:t>
            </w:r>
          </w:p>
        </w:tc>
        <w:tc>
          <w:tcPr>
            <w:tcW w:w="722"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lang w:bidi="ar-SA"/>
              </w:rPr>
            </w:r>
          </w:p>
        </w:tc>
        <w:tc>
          <w:tcPr>
            <w:tcW w:w="4534"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szCs w:val="20"/>
                <w:lang w:val="ru-RU" w:eastAsia="ru-RU" w:bidi="ar-SA"/>
              </w:rPr>
              <w:t>Инициатор договора</w:t>
            </w:r>
          </w:p>
        </w:tc>
      </w:tr>
      <w:tr>
        <w:trPr/>
        <w:tc>
          <w:tcPr>
            <w:tcW w:w="4665"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szCs w:val="20"/>
                <w:lang w:val="ru-RU" w:eastAsia="ru-RU" w:bidi="ar-SA"/>
              </w:rPr>
              <w:t>Ведущий специалист отдела комплексного обслуживания</w:t>
            </w:r>
          </w:p>
        </w:tc>
        <w:tc>
          <w:tcPr>
            <w:tcW w:w="722"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lang w:bidi="ar-SA"/>
              </w:rPr>
            </w:r>
          </w:p>
        </w:tc>
        <w:tc>
          <w:tcPr>
            <w:tcW w:w="4534"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szCs w:val="20"/>
                <w:lang w:val="ru-RU" w:eastAsia="ru-RU" w:bidi="ar-SA"/>
              </w:rPr>
              <w:t>Начальник управления обслуживания объектов</w:t>
            </w:r>
          </w:p>
        </w:tc>
      </w:tr>
      <w:tr>
        <w:trPr/>
        <w:tc>
          <w:tcPr>
            <w:tcW w:w="4665"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lang w:bidi="ar-SA"/>
              </w:rPr>
            </w:r>
          </w:p>
        </w:tc>
        <w:tc>
          <w:tcPr>
            <w:tcW w:w="722"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lang w:bidi="ar-SA"/>
              </w:rPr>
            </w:r>
          </w:p>
        </w:tc>
        <w:tc>
          <w:tcPr>
            <w:tcW w:w="4534"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lang w:bidi="ar-SA"/>
              </w:rPr>
            </w:r>
          </w:p>
        </w:tc>
      </w:tr>
      <w:tr>
        <w:trPr/>
        <w:tc>
          <w:tcPr>
            <w:tcW w:w="4665"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szCs w:val="20"/>
                <w:lang w:val="ru-RU" w:eastAsia="ru-RU" w:bidi="ar-SA"/>
              </w:rPr>
              <w:t>______________/ Стрелец В.А..</w:t>
            </w:r>
          </w:p>
        </w:tc>
        <w:tc>
          <w:tcPr>
            <w:tcW w:w="722"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lang w:bidi="ar-SA"/>
              </w:rPr>
            </w:r>
          </w:p>
        </w:tc>
        <w:tc>
          <w:tcPr>
            <w:tcW w:w="4534"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szCs w:val="20"/>
                <w:lang w:val="ru-RU" w:eastAsia="ru-RU" w:bidi="ar-SA"/>
              </w:rPr>
              <w:t>______________/ Решетникова А.А.</w:t>
            </w:r>
          </w:p>
        </w:tc>
      </w:tr>
      <w:tr>
        <w:trPr/>
        <w:tc>
          <w:tcPr>
            <w:tcW w:w="4665"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szCs w:val="20"/>
                <w:lang w:val="ru-RU" w:eastAsia="ru-RU" w:bidi="ar-SA"/>
              </w:rPr>
              <w:t>«</w:t>
            </w:r>
            <w:r>
              <w:rPr>
                <w:rFonts w:cs="Times New Roman"/>
                <w:color w:val="auto"/>
                <w:sz w:val="20"/>
                <w:szCs w:val="20"/>
                <w:lang w:val="ru-RU" w:eastAsia="ru-RU" w:bidi="ar-SA"/>
              </w:rPr>
              <w:t>14</w:t>
            </w:r>
            <w:r>
              <w:rPr>
                <w:rFonts w:cs="Times New Roman"/>
                <w:color w:val="auto"/>
                <w:sz w:val="20"/>
                <w:szCs w:val="20"/>
                <w:lang w:val="ru-RU" w:eastAsia="ru-RU" w:bidi="ar-SA"/>
              </w:rPr>
              <w:t>» мая 2026 года</w:t>
            </w:r>
          </w:p>
        </w:tc>
        <w:tc>
          <w:tcPr>
            <w:tcW w:w="722"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lang w:bidi="ar-SA"/>
              </w:rPr>
            </w:r>
          </w:p>
        </w:tc>
        <w:tc>
          <w:tcPr>
            <w:tcW w:w="4534" w:type="dxa"/>
            <w:tcBorders>
              <w:top w:val="nil"/>
              <w:left w:val="nil"/>
              <w:bottom w:val="nil"/>
              <w:right w:val="nil"/>
            </w:tcBorders>
          </w:tcPr>
          <w:p>
            <w:pPr>
              <w:pStyle w:val="Normal"/>
              <w:keepNext w:val="true"/>
              <w:keepLines/>
              <w:widowControl w:val="false"/>
              <w:suppressAutoHyphens w:val="true"/>
              <w:snapToGrid w:val="true"/>
              <w:spacing w:before="0" w:after="0"/>
              <w:ind w:hanging="0"/>
              <w:jc w:val="right"/>
              <w:rPr>
                <w:rFonts w:cs="Times New Roman"/>
                <w:color w:val="auto"/>
                <w:sz w:val="20"/>
                <w:lang w:bidi="ar-SA"/>
              </w:rPr>
            </w:pPr>
            <w:r>
              <w:rPr>
                <w:rFonts w:cs="Times New Roman"/>
                <w:color w:val="auto"/>
                <w:sz w:val="20"/>
                <w:szCs w:val="20"/>
                <w:lang w:val="ru-RU" w:eastAsia="ru-RU" w:bidi="ar-SA"/>
              </w:rPr>
              <w:t>«</w:t>
            </w:r>
            <w:r>
              <w:rPr>
                <w:rFonts w:cs="Times New Roman"/>
                <w:color w:val="auto"/>
                <w:sz w:val="20"/>
                <w:szCs w:val="20"/>
                <w:lang w:val="ru-RU" w:eastAsia="ru-RU" w:bidi="ar-SA"/>
              </w:rPr>
              <w:t>14</w:t>
            </w:r>
            <w:r>
              <w:rPr>
                <w:rFonts w:cs="Times New Roman"/>
                <w:color w:val="auto"/>
                <w:sz w:val="20"/>
                <w:szCs w:val="20"/>
                <w:lang w:val="ru-RU" w:eastAsia="ru-RU" w:bidi="ar-SA"/>
              </w:rPr>
              <w:t>» мая 2025 года</w:t>
            </w:r>
          </w:p>
        </w:tc>
      </w:tr>
    </w:tbl>
    <w:p>
      <w:pPr>
        <w:pStyle w:val="Normal"/>
        <w:widowControl/>
        <w:snapToGrid w:val="true"/>
        <w:ind w:hanging="0"/>
        <w:jc w:val="left"/>
        <w:rPr>
          <w:rFonts w:cs="Times New Roman"/>
          <w:color w:val="auto"/>
          <w:sz w:val="26"/>
          <w:szCs w:val="26"/>
          <w:lang w:eastAsia="ru-RU" w:bidi="ar-SA"/>
        </w:rPr>
      </w:pPr>
      <w:r>
        <w:rPr>
          <w:rFonts w:cs="Times New Roman"/>
          <w:color w:val="auto"/>
          <w:sz w:val="26"/>
          <w:szCs w:val="26"/>
          <w:lang w:eastAsia="ru-RU" w:bidi="ar-SA"/>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widowControl/>
        <w:snapToGrid w:val="true"/>
        <w:spacing w:before="0" w:after="240"/>
        <w:ind w:hanging="0"/>
        <w:jc w:val="center"/>
        <w:rPr>
          <w:rFonts w:eastAsia="Calibri" w:cs="Times New Roman"/>
          <w:b/>
          <w:color w:val="auto"/>
          <w:sz w:val="28"/>
          <w:szCs w:val="28"/>
          <w:lang w:eastAsia="ru-RU" w:bidi="ar-SA"/>
        </w:rPr>
      </w:pPr>
      <w:r>
        <w:rPr>
          <w:rFonts w:eastAsia="Calibri" w:cs="Times New Roman"/>
          <w:b/>
          <w:color w:val="auto"/>
          <w:sz w:val="28"/>
          <w:szCs w:val="28"/>
          <w:lang w:eastAsia="ru-RU" w:bidi="ar-SA"/>
        </w:rPr>
        <w:t>Технические требования на оказание услуг</w:t>
      </w:r>
    </w:p>
    <w:p>
      <w:pPr>
        <w:pStyle w:val="Normal"/>
        <w:widowControl/>
        <w:snapToGrid w:val="true"/>
        <w:ind w:hanging="0"/>
        <w:jc w:val="center"/>
        <w:rPr>
          <w:rFonts w:eastAsia="Calibri" w:cs="Times New Roman"/>
          <w:b/>
          <w:color w:val="auto"/>
          <w:sz w:val="28"/>
          <w:szCs w:val="28"/>
          <w:lang w:eastAsia="ru-RU" w:bidi="ar-SA"/>
        </w:rPr>
      </w:pPr>
      <w:r>
        <w:rPr>
          <w:rFonts w:eastAsia="Calibri" w:cs="Times New Roman"/>
          <w:b/>
          <w:color w:val="auto"/>
          <w:sz w:val="28"/>
          <w:szCs w:val="28"/>
          <w:lang w:eastAsia="ru-RU" w:bidi="ar-SA"/>
        </w:rPr>
        <w:t>ОКПД2 02.40.10.119 Выполнение работ по лесовосстановлению на территории филиала ПАО «РусГидро» - «Чебоксарская ГЭС»</w:t>
      </w:r>
    </w:p>
    <w:p>
      <w:pPr>
        <w:pStyle w:val="Normal"/>
        <w:widowControl/>
        <w:snapToGrid w:val="true"/>
        <w:ind w:hanging="0"/>
        <w:jc w:val="center"/>
        <w:rPr>
          <w:rFonts w:eastAsia="Calibri" w:cs="Times New Roman"/>
          <w:b/>
          <w:color w:val="auto"/>
          <w:sz w:val="28"/>
          <w:szCs w:val="28"/>
          <w:lang w:eastAsia="ru-RU" w:bidi="ar-SA"/>
        </w:rPr>
      </w:pPr>
      <w:r>
        <w:rPr>
          <w:rFonts w:eastAsia="Calibri" w:cs="Times New Roman"/>
          <w:b/>
          <w:color w:val="auto"/>
          <w:sz w:val="28"/>
          <w:szCs w:val="28"/>
          <w:lang w:eastAsia="ru-RU" w:bidi="ar-SA"/>
        </w:rPr>
      </w:r>
    </w:p>
    <w:p>
      <w:pPr>
        <w:pStyle w:val="Normal"/>
        <w:widowControl/>
        <w:snapToGrid w:val="true"/>
        <w:ind w:hanging="0"/>
        <w:jc w:val="center"/>
        <w:rPr>
          <w:rFonts w:eastAsia="Calibri" w:cs="Times New Roman"/>
          <w:b/>
          <w:color w:val="auto"/>
          <w:sz w:val="28"/>
          <w:szCs w:val="28"/>
          <w:lang w:eastAsia="ru-RU" w:bidi="ar-SA"/>
        </w:rPr>
      </w:pPr>
      <w:r>
        <w:rPr>
          <w:rFonts w:eastAsia="Calibri" w:cs="Times New Roman"/>
          <w:b/>
          <w:color w:val="auto"/>
          <w:sz w:val="28"/>
          <w:szCs w:val="28"/>
          <w:lang w:eastAsia="ru-RU" w:bidi="ar-SA"/>
        </w:rPr>
        <w:t>Лот № 0002-ПРО ДЭК ДОХ-2026-СК РусГидро</w:t>
      </w:r>
    </w:p>
    <w:p>
      <w:pPr>
        <w:pStyle w:val="Normal"/>
        <w:widowControl/>
        <w:snapToGrid w:val="true"/>
        <w:ind w:hanging="0"/>
        <w:jc w:val="left"/>
        <w:rPr>
          <w:rFonts w:eastAsia="Calibri" w:cs="Times New Roman"/>
          <w:b/>
          <w:color w:val="auto"/>
          <w:sz w:val="28"/>
          <w:szCs w:val="28"/>
          <w:lang w:eastAsia="ru-RU" w:bidi="ar-SA"/>
        </w:rPr>
      </w:pPr>
      <w:r>
        <w:rPr>
          <w:rFonts w:eastAsia="Calibri" w:cs="Times New Roman"/>
          <w:b/>
          <w:color w:val="auto"/>
          <w:sz w:val="28"/>
          <w:szCs w:val="28"/>
          <w:lang w:eastAsia="ru-RU" w:bidi="ar-SA"/>
        </w:rPr>
      </w:r>
      <w:r>
        <w:br w:type="page"/>
      </w:r>
    </w:p>
    <w:p>
      <w:pPr>
        <w:pStyle w:val="Normal"/>
        <w:numPr>
          <w:ilvl w:val="0"/>
          <w:numId w:val="3"/>
        </w:numPr>
        <w:jc w:val="center"/>
        <w:rPr>
          <w:sz w:val="28"/>
          <w:szCs w:val="28"/>
        </w:rPr>
      </w:pPr>
      <w:bookmarkStart w:id="0" w:name="_Toc133419412"/>
      <w:bookmarkStart w:id="1" w:name="_Toc46743506"/>
      <w:bookmarkEnd w:id="0"/>
      <w:bookmarkEnd w:id="1"/>
      <w:r>
        <w:rPr>
          <w:b/>
          <w:bCs/>
          <w:sz w:val="28"/>
          <w:szCs w:val="28"/>
          <w:lang w:val="x-none"/>
        </w:rPr>
        <w:t>Общие сведения</w:t>
      </w:r>
    </w:p>
    <w:p>
      <w:pPr>
        <w:pStyle w:val="Normal"/>
        <w:numPr>
          <w:ilvl w:val="1"/>
          <w:numId w:val="3"/>
        </w:numPr>
        <w:rPr>
          <w:b/>
          <w:lang w:val="x-none"/>
        </w:rPr>
      </w:pPr>
      <w:r>
        <w:rPr>
          <w:b/>
          <w:lang w:val="x-none"/>
        </w:rPr>
        <w:t xml:space="preserve"> </w:t>
      </w:r>
      <w:r>
        <w:rPr>
          <w:b/>
          <w:lang w:val="x-none"/>
        </w:rPr>
        <w:t>Обозначения и сокращения</w:t>
      </w:r>
    </w:p>
    <w:tbl>
      <w:tblPr>
        <w:tblW w:w="9783"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3964"/>
        <w:gridCol w:w="5818"/>
      </w:tblGrid>
      <w:tr>
        <w:trPr>
          <w:cantSplit w:val="true"/>
        </w:trPr>
        <w:tc>
          <w:tcPr>
            <w:tcW w:w="396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bCs/>
              </w:rPr>
            </w:pPr>
            <w:r>
              <w:rPr/>
              <w:t>Технические требования (ТТ)</w:t>
            </w:r>
          </w:p>
        </w:tc>
        <w:tc>
          <w:tcPr>
            <w:tcW w:w="5818"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bCs/>
              </w:rPr>
            </w:pPr>
            <w:r>
              <w:rPr/>
              <w:t>Настоящие Технические требования</w:t>
            </w:r>
          </w:p>
        </w:tc>
      </w:tr>
      <w:tr>
        <w:trPr>
          <w:cantSplit w:val="true"/>
        </w:trPr>
        <w:tc>
          <w:tcPr>
            <w:tcW w:w="396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bCs/>
              </w:rPr>
            </w:pPr>
            <w:r>
              <w:rPr/>
              <w:t>Заказчик</w:t>
            </w:r>
          </w:p>
        </w:tc>
        <w:tc>
          <w:tcPr>
            <w:tcW w:w="5818"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bCs/>
              </w:rPr>
            </w:pPr>
            <w:r>
              <w:rPr/>
              <w:t>АО «СК РусГидро»</w:t>
            </w:r>
          </w:p>
        </w:tc>
      </w:tr>
      <w:tr>
        <w:trPr>
          <w:cantSplit w:val="true"/>
        </w:trPr>
        <w:tc>
          <w:tcPr>
            <w:tcW w:w="396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bCs/>
              </w:rPr>
            </w:pPr>
            <w:r>
              <w:rPr/>
              <w:t>Филиалы</w:t>
            </w:r>
          </w:p>
        </w:tc>
        <w:tc>
          <w:tcPr>
            <w:tcW w:w="5818"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bCs/>
              </w:rPr>
            </w:pPr>
            <w:r>
              <w:rPr/>
              <w:t>Филиал ПАО «РусГидро» - «Чебоксарская ГЭС».</w:t>
            </w:r>
          </w:p>
        </w:tc>
      </w:tr>
      <w:tr>
        <w:trPr>
          <w:trHeight w:val="209" w:hRule="atLeast"/>
          <w:cantSplit w:val="true"/>
        </w:trPr>
        <w:tc>
          <w:tcPr>
            <w:tcW w:w="396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bCs/>
              </w:rPr>
            </w:pPr>
            <w:r>
              <w:rPr/>
              <w:t>Объекты (Объект воздействия)</w:t>
            </w:r>
          </w:p>
        </w:tc>
        <w:tc>
          <w:tcPr>
            <w:tcW w:w="5818"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bCs/>
              </w:rPr>
            </w:pPr>
            <w:r>
              <w:rPr/>
              <w:t>Земляная плотина филиала ПАО «РусГидро» - «Чебоксарская ГЭС».</w:t>
            </w:r>
          </w:p>
        </w:tc>
      </w:tr>
      <w:tr>
        <w:trPr>
          <w:cantSplit w:val="true"/>
        </w:trPr>
        <w:tc>
          <w:tcPr>
            <w:tcW w:w="396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bCs/>
              </w:rPr>
            </w:pPr>
            <w:r>
              <w:rPr/>
              <w:t>СТО</w:t>
            </w:r>
          </w:p>
        </w:tc>
        <w:tc>
          <w:tcPr>
            <w:tcW w:w="5818"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bCs/>
              </w:rPr>
            </w:pPr>
            <w:r>
              <w:rPr/>
              <w:t>Стандарт обслуживания зданий и территорий Группы РусГидро, утверждённый приказом ПАО «РусГидро» от 07.10.2022 №750</w:t>
            </w:r>
          </w:p>
        </w:tc>
      </w:tr>
    </w:tbl>
    <w:p>
      <w:pPr>
        <w:pStyle w:val="Normal"/>
        <w:rPr>
          <w:b/>
        </w:rPr>
      </w:pPr>
      <w:r>
        <w:rPr>
          <w:b/>
        </w:rPr>
      </w:r>
      <w:bookmarkStart w:id="2" w:name="_Toc133419412_Копия_1"/>
      <w:bookmarkStart w:id="3" w:name="_Toc46743506_Копия_1"/>
      <w:bookmarkStart w:id="4" w:name="_Toc133419412_Копия_1"/>
      <w:bookmarkStart w:id="5" w:name="_Toc46743506_Копия_1"/>
      <w:bookmarkEnd w:id="4"/>
      <w:bookmarkEnd w:id="5"/>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r>
        <w:br w:type="page"/>
      </w:r>
    </w:p>
    <w:p>
      <w:pPr>
        <w:pStyle w:val="Normal"/>
        <w:numPr>
          <w:ilvl w:val="1"/>
          <w:numId w:val="3"/>
        </w:numPr>
        <w:ind w:left="0" w:right="0" w:firstLine="709"/>
        <w:rPr/>
      </w:pPr>
      <w:r>
        <w:rPr>
          <w:b/>
          <w:bCs/>
        </w:rPr>
        <w:t>Наименование и оказание услуг:</w:t>
      </w:r>
    </w:p>
    <w:p>
      <w:pPr>
        <w:pStyle w:val="Normal"/>
        <w:ind w:left="0" w:right="0" w:firstLine="709"/>
        <w:rPr/>
      </w:pPr>
      <w:r>
        <w:rPr/>
        <w:t>ОКПД2 02.40.10.119 Выполнение работ по лесовосстановлению на территории филиала ПАО «РусГидро» - «Чебоксарская ГЭС».</w:t>
      </w:r>
    </w:p>
    <w:p>
      <w:pPr>
        <w:pStyle w:val="Normal"/>
        <w:ind w:left="0" w:right="0" w:firstLine="709"/>
        <w:rPr>
          <w:b/>
        </w:rPr>
      </w:pPr>
      <w:r>
        <w:rPr>
          <w:b/>
        </w:rPr>
      </w:r>
    </w:p>
    <w:p>
      <w:pPr>
        <w:pStyle w:val="Normal"/>
        <w:numPr>
          <w:ilvl w:val="1"/>
          <w:numId w:val="3"/>
        </w:numPr>
        <w:ind w:left="0" w:right="0" w:firstLine="709"/>
        <w:rPr/>
      </w:pPr>
      <w:r>
        <w:rPr>
          <w:b/>
        </w:rPr>
        <w:t xml:space="preserve">Цель оказания услуг </w:t>
      </w:r>
    </w:p>
    <w:p>
      <w:pPr>
        <w:pStyle w:val="Normal"/>
        <w:ind w:left="0" w:right="0" w:firstLine="709"/>
        <w:rPr/>
      </w:pPr>
      <w:r>
        <w:rPr/>
        <w:t>В целях исполнения обязательств по доходному договору, заключенному между АО «СК РусГидро</w:t>
      </w:r>
      <w:r>
        <w:rPr>
          <w:i w:val="false"/>
          <w:iCs w:val="false"/>
        </w:rPr>
        <w:t xml:space="preserve">» и </w:t>
      </w:r>
      <w:r>
        <w:rPr>
          <w:bCs/>
          <w:i w:val="false"/>
          <w:iCs w:val="false"/>
        </w:rPr>
        <w:t>филиалом ПАО «РусГидро» - «Чебоксарская ГЭС».</w:t>
      </w:r>
    </w:p>
    <w:p>
      <w:pPr>
        <w:pStyle w:val="Normal"/>
        <w:ind w:left="0" w:right="0" w:firstLine="709"/>
        <w:rPr/>
      </w:pPr>
      <w:r>
        <w:rPr/>
        <w:t>Целью является лесовосстановление, высадка защитных лесонасаждений  осуществляется естественным, искусственным или комбинированным способом в целях сохранения полезных функций лесов, озеленения, защиты от неблагоприятных природных и антропогенных факторов.</w:t>
      </w:r>
    </w:p>
    <w:p>
      <w:pPr>
        <w:pStyle w:val="Normal"/>
        <w:numPr>
          <w:ilvl w:val="1"/>
          <w:numId w:val="3"/>
        </w:numPr>
        <w:ind w:left="0" w:right="0" w:firstLine="709"/>
        <w:rPr/>
      </w:pPr>
      <w:bookmarkStart w:id="6" w:name="_Toc133419414"/>
      <w:bookmarkStart w:id="7" w:name="_Toc46743508"/>
      <w:r>
        <w:rPr>
          <w:b/>
        </w:rPr>
        <w:t>Существующее положение</w:t>
      </w:r>
      <w:bookmarkEnd w:id="6"/>
      <w:bookmarkEnd w:id="7"/>
      <w:r>
        <w:rPr>
          <w:b/>
        </w:rPr>
        <w:t xml:space="preserve"> </w:t>
      </w:r>
    </w:p>
    <w:p>
      <w:pPr>
        <w:pStyle w:val="Normal"/>
        <w:ind w:left="0" w:right="0" w:firstLine="709"/>
        <w:rPr/>
      </w:pPr>
      <w:r>
        <w:rPr/>
        <w:t xml:space="preserve">Земляная плотина (тип сооружения – намывная, однородная) расположена на территории Чувашской Республики и Республики Марий Эл (на земельных участках с кадастровыми номерами 21:02:010103:1, 21:02:010103:2, 12:14:0101001:4). Русловой участок – 930 м (с ПК-31 по ПК-22), пойменный – 1930 м (с ПК-22 по П0К-2+75). Ширина гребня плотины колеблется от 25 м до 129 м, ширина по подошве – 420 м. Отметка пойменного участка плотины – от 72,5 м до 74, 0 м. Отметка гребня руслового участка плотины – 74 м. Максимальная высота плотины – 40,5 м. Уклон откоса верхового - 1:3,5, низового - 1:3. </w:t>
      </w:r>
    </w:p>
    <w:p>
      <w:pPr>
        <w:pStyle w:val="Normal"/>
        <w:ind w:left="0" w:right="0" w:firstLine="709"/>
        <w:rPr/>
      </w:pPr>
      <w:r>
        <w:rPr/>
        <w:t>В состав земляной плотины так же входит водосбросная канава, служащая для отведения дренажных вод из тела плотины. Она расположена у подошвы низового откоса земляной плотины на участке ориентировочно между пикетами ПК-3 и ПК-12 по проекту (фактическое расположение ПК7+80 – ПК11+50) и выходит за пределы отведенного земельного участка с кадастровым номером 12:14:0101001:4 на земли лесного фонда Министерства природных ресурсов, экологии и охраны окружающей среды Республики Марий Эл по адресу: Республика Марий Эл, р-н Звениговский, Кокшайское лесничество, Уржумское участковое лесничество, Уржумский лесной участок в кв.110 (выд. 61 и 70) и 119 (выд. 56), в районе 19 км федеральной трассы Р-176 «Вятка» (участок частично заболоченный). Чебоксарская ГЭС в 2023 году занимается землеотводом участка лесного фонда Министерства природных ресурсов, экологии и охраны окружающей среды Республики Марий Эл.</w:t>
      </w:r>
    </w:p>
    <w:p>
      <w:pPr>
        <w:pStyle w:val="Normal"/>
        <w:ind w:left="0" w:right="0" w:firstLine="709"/>
        <w:rPr/>
      </w:pPr>
      <w:r>
        <w:rPr/>
        <w:t xml:space="preserve">C 1981 года УВБ находится на временной отметке 63.000 м, в связи с чем через водосбросную канаву не происходит отвод дренажных вод. </w:t>
      </w:r>
    </w:p>
    <w:p>
      <w:pPr>
        <w:pStyle w:val="Normal"/>
        <w:rPr>
          <w:b/>
          <w:lang w:val="x-none"/>
        </w:rPr>
      </w:pPr>
      <w:r>
        <w:rPr>
          <w:b/>
          <w:lang w:val="x-none"/>
        </w:rPr>
      </w:r>
    </w:p>
    <w:p>
      <w:pPr>
        <w:pStyle w:val="Normal"/>
        <w:rPr>
          <w:b/>
        </w:rPr>
      </w:pPr>
      <w:r>
        <w:rPr>
          <w:b/>
          <w:lang w:val="x-none"/>
        </w:rPr>
        <w:t>Таблица 1</w:t>
      </w:r>
      <w:r>
        <w:rPr>
          <w:b/>
        </w:rPr>
        <w:t>.</w:t>
      </w:r>
      <w:r>
        <w:rPr>
          <w:b/>
          <w:lang w:val="x-none"/>
        </w:rPr>
        <w:t xml:space="preserve"> </w:t>
      </w:r>
      <w:r>
        <w:rPr>
          <w:b/>
        </w:rPr>
        <w:t xml:space="preserve">Перечень объектов </w:t>
      </w:r>
      <w:r>
        <w:rPr>
          <w:b/>
          <w:lang w:val="en-US"/>
        </w:rPr>
        <w:t>З</w:t>
      </w:r>
      <w:r>
        <w:rPr>
          <w:b/>
        </w:rPr>
        <w:t>аказчика</w:t>
      </w:r>
    </w:p>
    <w:tbl>
      <w:tblPr>
        <w:tblW w:w="10060"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704"/>
        <w:gridCol w:w="1843"/>
        <w:gridCol w:w="3544"/>
        <w:gridCol w:w="2543"/>
        <w:gridCol w:w="1426"/>
      </w:tblGrid>
      <w:tr>
        <w:trPr>
          <w:trHeight w:val="20" w:hRule="atLeast"/>
        </w:trPr>
        <w:tc>
          <w:tcPr>
            <w:tcW w:w="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w:t>
            </w:r>
          </w:p>
          <w:p>
            <w:pPr>
              <w:pStyle w:val="Normal"/>
              <w:widowControl w:val="false"/>
              <w:ind w:left="0" w:right="0" w:hanging="0"/>
              <w:jc w:val="center"/>
              <w:rPr/>
            </w:pPr>
            <w:r>
              <w:rPr>
                <w:b/>
                <w:sz w:val="20"/>
                <w:szCs w:val="20"/>
              </w:rPr>
              <w:t>п/п</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Наименование объекта</w:t>
            </w:r>
          </w:p>
        </w:tc>
        <w:tc>
          <w:tcPr>
            <w:tcW w:w="35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 xml:space="preserve">Расположение объекта </w:t>
            </w:r>
            <w:r>
              <w:rPr>
                <w:b/>
                <w:iCs/>
                <w:sz w:val="20"/>
                <w:szCs w:val="20"/>
              </w:rPr>
              <w:t>(место оказания Услуг)</w:t>
            </w:r>
          </w:p>
        </w:tc>
        <w:tc>
          <w:tcPr>
            <w:tcW w:w="25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Наименование основного средства (в отношении которого оказываются Услуги)</w:t>
            </w:r>
          </w:p>
        </w:tc>
        <w:tc>
          <w:tcPr>
            <w:tcW w:w="1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Примечания</w:t>
            </w:r>
          </w:p>
        </w:tc>
      </w:tr>
      <w:tr>
        <w:trPr>
          <w:trHeight w:val="20" w:hRule="atLeast"/>
        </w:trPr>
        <w:tc>
          <w:tcPr>
            <w:tcW w:w="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1</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2</w:t>
            </w:r>
          </w:p>
        </w:tc>
        <w:tc>
          <w:tcPr>
            <w:tcW w:w="35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3</w:t>
            </w:r>
          </w:p>
        </w:tc>
        <w:tc>
          <w:tcPr>
            <w:tcW w:w="25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4</w:t>
            </w:r>
          </w:p>
        </w:tc>
        <w:tc>
          <w:tcPr>
            <w:tcW w:w="1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5</w:t>
            </w:r>
          </w:p>
        </w:tc>
      </w:tr>
      <w:tr>
        <w:trPr>
          <w:trHeight w:val="20" w:hRule="atLeast"/>
        </w:trPr>
        <w:tc>
          <w:tcPr>
            <w:tcW w:w="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1</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Филиал ПАО «РусГидро» - «Чебоксарская ГЭС»</w:t>
            </w:r>
          </w:p>
        </w:tc>
        <w:tc>
          <w:tcPr>
            <w:tcW w:w="35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Российская Федерация, Чувашская Республика, г. Новочебоксарск, ул. Набережная, влд. 34.</w:t>
            </w:r>
          </w:p>
        </w:tc>
        <w:tc>
          <w:tcPr>
            <w:tcW w:w="25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iCs/>
                <w:sz w:val="20"/>
                <w:szCs w:val="20"/>
              </w:rPr>
              <w:t>Земляная плотина. Назначение – водоподпорное (инв. ЧБ000501</w:t>
            </w:r>
            <w:r>
              <w:rPr>
                <w:iCs/>
                <w:sz w:val="20"/>
                <w:szCs w:val="20"/>
                <w:lang w:val="en-US"/>
              </w:rPr>
              <w:t>)</w:t>
            </w:r>
            <w:r>
              <w:rPr>
                <w:iCs/>
                <w:sz w:val="20"/>
                <w:szCs w:val="20"/>
              </w:rPr>
              <w:t>.</w:t>
            </w:r>
          </w:p>
        </w:tc>
        <w:tc>
          <w:tcPr>
            <w:tcW w:w="1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iCs/>
                <w:sz w:val="20"/>
                <w:szCs w:val="20"/>
              </w:rPr>
              <w:t>-</w:t>
            </w:r>
          </w:p>
        </w:tc>
      </w:tr>
    </w:tbl>
    <w:p>
      <w:pPr>
        <w:pStyle w:val="Normal"/>
        <w:ind w:left="0" w:right="0" w:firstLine="709"/>
        <w:rPr/>
      </w:pPr>
      <w:r>
        <w:rPr/>
      </w:r>
    </w:p>
    <w:p>
      <w:pPr>
        <w:pStyle w:val="Normal"/>
        <w:numPr>
          <w:ilvl w:val="1"/>
          <w:numId w:val="3"/>
        </w:numPr>
        <w:ind w:left="0" w:right="0" w:firstLine="709"/>
        <w:rPr/>
      </w:pPr>
      <w:bookmarkStart w:id="8" w:name="_Toc133419416"/>
      <w:bookmarkStart w:id="9" w:name="_Hlk49857604"/>
      <w:bookmarkStart w:id="10" w:name="_Toc46743509"/>
      <w:r>
        <w:rPr>
          <w:b/>
          <w:bCs/>
        </w:rPr>
        <w:t xml:space="preserve">Информация в отношении исполнения договора, </w:t>
      </w:r>
      <w:bookmarkStart w:id="11" w:name="_Hlk46492347"/>
      <w:r>
        <w:rPr>
          <w:b/>
          <w:bCs/>
        </w:rPr>
        <w:t xml:space="preserve">которая должна быть учтена при подготовке заявки </w:t>
      </w:r>
      <w:bookmarkEnd w:id="11"/>
      <w:r>
        <w:rPr>
          <w:b/>
          <w:bCs/>
        </w:rPr>
        <w:t>(в том числе перечень ресурсов, услуг и документов, предоставляемых заказчиком на этапе исполнения договора)</w:t>
      </w:r>
      <w:bookmarkEnd w:id="8"/>
      <w:bookmarkEnd w:id="9"/>
      <w:bookmarkEnd w:id="10"/>
      <w:r>
        <w:rPr>
          <w:b/>
          <w:bCs/>
        </w:rPr>
        <w:t xml:space="preserve"> </w:t>
      </w:r>
    </w:p>
    <w:p>
      <w:pPr>
        <w:pStyle w:val="Normal"/>
        <w:numPr>
          <w:ilvl w:val="2"/>
          <w:numId w:val="3"/>
        </w:numPr>
        <w:ind w:left="0" w:right="0" w:firstLine="709"/>
        <w:rPr/>
      </w:pPr>
      <w:r>
        <w:rPr/>
        <w:t xml:space="preserve">Оказание Услуг осуществляется в соответствии с </w:t>
      </w:r>
      <w:r>
        <w:rPr>
          <w14:ligatures w14:val="none"/>
        </w:rPr>
        <w:t xml:space="preserve">Проектом лесовосстановления на лесном участке № 3-2025 / 2025 год (Приложение № 1 к настоящим Техническим требованиям), </w:t>
      </w:r>
      <w:r>
        <w:rPr/>
        <w:t>получившим положительное заключение государственной экспертизы от 20.12.2023 № ЭПОЛ-20231211-15774529001-3 Министерства природных ресурсов, экологии и охраны окружающей среды Республики Марий Эл;</w:t>
      </w:r>
    </w:p>
    <w:p>
      <w:pPr>
        <w:pStyle w:val="Normal"/>
        <w:numPr>
          <w:ilvl w:val="2"/>
          <w:numId w:val="3"/>
        </w:numPr>
        <w:ind w:left="0" w:right="0" w:firstLine="709"/>
        <w:rPr/>
      </w:pPr>
      <w:r>
        <w:rPr>
          <w:iCs/>
        </w:rPr>
        <w:t xml:space="preserve">До начала работ по посадке саженцев (лесовосстановлению) Исполнитель согласовывает участок земли, из состава земель лесного фонда, предназначенный для искусственного и комбинированного лесовосстановления, а также лесоразведения в соответствии со ст.63.1 ЛК РФ, с Министерством природных ресурсов, экологии и охраны окружающей среды Республики Марий Эл. </w:t>
      </w:r>
    </w:p>
    <w:p>
      <w:pPr>
        <w:pStyle w:val="Normal"/>
        <w:numPr>
          <w:ilvl w:val="2"/>
          <w:numId w:val="3"/>
        </w:numPr>
        <w:ind w:left="0" w:right="0" w:firstLine="709"/>
        <w:rPr/>
      </w:pPr>
      <w:r>
        <w:rPr>
          <w:iCs/>
        </w:rPr>
        <w:t>Специальное технологическое оборудование и инвентарь, применяемый для оказания услуг является обременением Исполнителя.</w:t>
      </w:r>
    </w:p>
    <w:p>
      <w:pPr>
        <w:pStyle w:val="NoSpacing"/>
        <w:numPr>
          <w:ilvl w:val="2"/>
          <w:numId w:val="3"/>
        </w:numPr>
        <w:ind w:left="0" w:right="0" w:firstLine="709"/>
        <w:rPr/>
      </w:pPr>
      <w:r>
        <w:rPr/>
        <w:t xml:space="preserve">Все </w:t>
      </w:r>
      <w:r>
        <w:rPr>
          <w:iCs/>
          <w14:ligatures w14:val="none"/>
        </w:rPr>
        <w:t>работы</w:t>
      </w:r>
      <w:r>
        <w:rPr/>
        <w:t xml:space="preserve"> выполняются Исполнителем своим транспортом, собственными силами и средствами.</w:t>
      </w:r>
    </w:p>
    <w:p>
      <w:pPr>
        <w:pStyle w:val="NoSpacing"/>
        <w:numPr>
          <w:ilvl w:val="2"/>
          <w:numId w:val="3"/>
        </w:numPr>
        <w:ind w:left="0" w:right="0" w:firstLine="709"/>
        <w:rPr/>
      </w:pPr>
      <w:r>
        <w:rPr/>
        <w:t>Обеспечение соблюдения норм охраны труда, правил техники безопасности, правил пожарной безопасности и охраны окружающей среды.</w:t>
      </w:r>
    </w:p>
    <w:p>
      <w:pPr>
        <w:pStyle w:val="NoSpacing"/>
        <w:numPr>
          <w:ilvl w:val="2"/>
          <w:numId w:val="3"/>
        </w:numPr>
        <w:ind w:left="0" w:right="0" w:firstLine="709"/>
        <w:rPr/>
      </w:pPr>
      <w:r>
        <w:rPr/>
        <w:t xml:space="preserve">Обеспечить всех сотрудников, привлекаемых к оказанию услуг на объекте Заказчика, полным (достаточным для оказания услуг с учетом специфики объекта и погодных условий) комплектом сертифицированной спецодежды, спецобуви и другими необходимыми инструментами и оснасткой. </w:t>
      </w:r>
    </w:p>
    <w:p>
      <w:pPr>
        <w:pStyle w:val="NoSpacing"/>
        <w:numPr>
          <w:ilvl w:val="2"/>
          <w:numId w:val="3"/>
        </w:numPr>
        <w:ind w:left="0" w:right="0" w:firstLine="709"/>
        <w:rPr/>
      </w:pPr>
      <w:r>
        <w:rPr/>
        <w:t xml:space="preserve">Исполнитель гарантирует бесперебойную работу Филиала в течение всего срока оказания услуг. </w:t>
      </w:r>
    </w:p>
    <w:p>
      <w:pPr>
        <w:pStyle w:val="NoSpacing"/>
        <w:numPr>
          <w:ilvl w:val="2"/>
          <w:numId w:val="3"/>
        </w:numPr>
        <w:ind w:left="0" w:right="0" w:firstLine="709"/>
        <w:rPr/>
      </w:pPr>
      <w:r>
        <w:rPr/>
        <w:t>Исполнитель должен иметь достаточное для исполнения договора количество собственных или на праве аренды материально-технических ресурсов (машин и механизмов) на оказание услуг по предмету договора.</w:t>
      </w:r>
    </w:p>
    <w:p>
      <w:pPr>
        <w:pStyle w:val="NoSpacing"/>
        <w:numPr>
          <w:ilvl w:val="2"/>
          <w:numId w:val="3"/>
        </w:numPr>
        <w:ind w:left="0" w:right="0" w:firstLine="709"/>
        <w:rPr/>
      </w:pPr>
      <w:r>
        <w:rPr/>
        <w:t xml:space="preserve">Исполнитель должен иметь достаточное для исполнения договора количество квалифицированного и аттестованного персонала (при наличии нарядов-допусков), в том числе на каждую единицу техники. </w:t>
      </w:r>
    </w:p>
    <w:p>
      <w:pPr>
        <w:pStyle w:val="NoSpacing"/>
        <w:ind w:left="0" w:right="0" w:firstLine="709"/>
        <w:jc w:val="left"/>
        <w:rPr/>
      </w:pPr>
      <w:r>
        <w:rPr/>
      </w:r>
    </w:p>
    <w:p>
      <w:pPr>
        <w:pStyle w:val="Normal"/>
        <w:numPr>
          <w:ilvl w:val="1"/>
          <w:numId w:val="3"/>
        </w:numPr>
        <w:ind w:left="0" w:right="0" w:firstLine="709"/>
        <w:rPr/>
      </w:pPr>
      <w:r>
        <w:rPr>
          <w:b/>
          <w:bCs/>
        </w:rPr>
        <w:t>Требования</w:t>
      </w:r>
      <w:r>
        <w:rPr>
          <w:b/>
          <w:bCs/>
          <w:iCs/>
        </w:rPr>
        <w:t xml:space="preserve"> к материально техническому оснащению:</w:t>
      </w:r>
    </w:p>
    <w:tbl>
      <w:tblPr>
        <w:tblStyle w:val="af4"/>
        <w:tblW w:w="9267" w:type="dxa"/>
        <w:jc w:val="left"/>
        <w:tblInd w:w="113" w:type="dxa"/>
        <w:tblLayout w:type="fixed"/>
        <w:tblCellMar>
          <w:top w:w="0" w:type="dxa"/>
          <w:left w:w="108" w:type="dxa"/>
          <w:bottom w:w="0" w:type="dxa"/>
          <w:right w:w="108" w:type="dxa"/>
        </w:tblCellMar>
        <w:tblLook w:noVBand="1" w:val="04a0" w:noHBand="0" w:lastColumn="0" w:firstColumn="1" w:lastRow="0" w:firstRow="1"/>
      </w:tblPr>
      <w:tblGrid>
        <w:gridCol w:w="856"/>
        <w:gridCol w:w="3611"/>
        <w:gridCol w:w="2903"/>
        <w:gridCol w:w="1896"/>
      </w:tblGrid>
      <w:tr>
        <w:trPr/>
        <w:tc>
          <w:tcPr>
            <w:tcW w:w="856" w:type="dxa"/>
            <w:tcBorders/>
            <w:vAlign w:val="center"/>
          </w:tcPr>
          <w:p>
            <w:pPr>
              <w:pStyle w:val="Normal"/>
              <w:widowControl w:val="false"/>
              <w:suppressAutoHyphens w:val="true"/>
              <w:spacing w:before="0" w:after="0"/>
              <w:ind w:hanging="0"/>
              <w:jc w:val="center"/>
              <w:rPr>
                <w:szCs w:val="24"/>
              </w:rPr>
            </w:pPr>
            <w:r>
              <w:rPr>
                <w:b/>
                <w:bCs/>
                <w:iCs/>
                <w:sz w:val="20"/>
                <w:szCs w:val="24"/>
                <w:lang w:val="ru-RU" w:eastAsia="ru-RU"/>
              </w:rPr>
              <w:t xml:space="preserve">№ </w:t>
            </w:r>
            <w:r>
              <w:rPr>
                <w:b/>
                <w:bCs/>
                <w:iCs/>
                <w:sz w:val="20"/>
                <w:szCs w:val="24"/>
                <w:lang w:val="ru-RU" w:eastAsia="ru-RU"/>
              </w:rPr>
              <w:t>п/п</w:t>
            </w:r>
          </w:p>
        </w:tc>
        <w:tc>
          <w:tcPr>
            <w:tcW w:w="3611" w:type="dxa"/>
            <w:tcBorders/>
            <w:vAlign w:val="center"/>
          </w:tcPr>
          <w:p>
            <w:pPr>
              <w:pStyle w:val="Normal"/>
              <w:widowControl w:val="false"/>
              <w:suppressAutoHyphens w:val="true"/>
              <w:spacing w:before="0" w:after="0"/>
              <w:jc w:val="center"/>
              <w:rPr>
                <w:szCs w:val="24"/>
              </w:rPr>
            </w:pPr>
            <w:r>
              <w:rPr>
                <w:b/>
                <w:bCs/>
                <w:iCs/>
                <w:sz w:val="20"/>
                <w:szCs w:val="24"/>
                <w:lang w:val="ru-RU" w:eastAsia="ru-RU"/>
              </w:rPr>
              <w:t>Средства технического оснащения</w:t>
            </w:r>
          </w:p>
        </w:tc>
        <w:tc>
          <w:tcPr>
            <w:tcW w:w="2903" w:type="dxa"/>
            <w:tcBorders/>
            <w:vAlign w:val="center"/>
          </w:tcPr>
          <w:p>
            <w:pPr>
              <w:pStyle w:val="Normal"/>
              <w:widowControl w:val="false"/>
              <w:suppressAutoHyphens w:val="true"/>
              <w:spacing w:before="0" w:after="0"/>
              <w:jc w:val="center"/>
              <w:rPr>
                <w:szCs w:val="24"/>
              </w:rPr>
            </w:pPr>
            <w:r>
              <w:rPr>
                <w:b/>
                <w:bCs/>
                <w:iCs/>
                <w:sz w:val="20"/>
                <w:szCs w:val="24"/>
                <w:lang w:val="ru-RU" w:eastAsia="ru-RU"/>
              </w:rPr>
              <w:t>Характеристика средства технического оснащения</w:t>
            </w:r>
          </w:p>
        </w:tc>
        <w:tc>
          <w:tcPr>
            <w:tcW w:w="1896" w:type="dxa"/>
            <w:tcBorders/>
            <w:vAlign w:val="center"/>
          </w:tcPr>
          <w:p>
            <w:pPr>
              <w:pStyle w:val="Normal"/>
              <w:widowControl w:val="false"/>
              <w:suppressAutoHyphens w:val="true"/>
              <w:spacing w:before="0" w:after="0"/>
              <w:ind w:hanging="0"/>
              <w:jc w:val="center"/>
              <w:rPr>
                <w:szCs w:val="24"/>
              </w:rPr>
            </w:pPr>
            <w:r>
              <w:rPr>
                <w:b/>
                <w:bCs/>
                <w:iCs/>
                <w:sz w:val="20"/>
                <w:szCs w:val="24"/>
                <w:lang w:val="ru-RU" w:eastAsia="ru-RU"/>
              </w:rPr>
              <w:t>Количество ( не менее)</w:t>
            </w:r>
          </w:p>
        </w:tc>
      </w:tr>
      <w:tr>
        <w:trPr/>
        <w:tc>
          <w:tcPr>
            <w:tcW w:w="856" w:type="dxa"/>
            <w:tcBorders/>
            <w:vAlign w:val="center"/>
          </w:tcPr>
          <w:p>
            <w:pPr>
              <w:pStyle w:val="Normal"/>
              <w:widowControl w:val="false"/>
              <w:suppressAutoHyphens w:val="true"/>
              <w:spacing w:before="0" w:after="0"/>
              <w:rPr>
                <w:szCs w:val="24"/>
              </w:rPr>
            </w:pPr>
            <w:r>
              <w:rPr>
                <w:iCs/>
                <w:sz w:val="20"/>
                <w:szCs w:val="24"/>
                <w:lang w:val="ru-RU" w:eastAsia="ru-RU"/>
              </w:rPr>
              <w:t>1</w:t>
            </w:r>
          </w:p>
        </w:tc>
        <w:tc>
          <w:tcPr>
            <w:tcW w:w="3611" w:type="dxa"/>
            <w:tcBorders/>
            <w:vAlign w:val="center"/>
          </w:tcPr>
          <w:p>
            <w:pPr>
              <w:pStyle w:val="Normal"/>
              <w:widowControl w:val="false"/>
              <w:suppressAutoHyphens w:val="true"/>
              <w:spacing w:before="0" w:after="0"/>
              <w:ind w:hanging="0"/>
              <w:jc w:val="left"/>
              <w:rPr>
                <w:iCs/>
                <w:szCs w:val="24"/>
                <w:lang w:eastAsia="ru-RU"/>
              </w:rPr>
            </w:pPr>
            <w:r>
              <w:rPr>
                <w:iCs/>
                <w:sz w:val="20"/>
                <w:szCs w:val="24"/>
                <w:lang w:val="ru-RU" w:eastAsia="ru-RU"/>
                <w14:ligatures w14:val="none"/>
              </w:rPr>
              <w:t>Трактор МТЗ-82 с плугом ПКЛ-70</w:t>
            </w:r>
          </w:p>
        </w:tc>
        <w:tc>
          <w:tcPr>
            <w:tcW w:w="2903" w:type="dxa"/>
            <w:tcBorders/>
            <w:vAlign w:val="center"/>
          </w:tcPr>
          <w:p>
            <w:pPr>
              <w:pStyle w:val="Normal"/>
              <w:widowControl w:val="false"/>
              <w:suppressAutoHyphens w:val="true"/>
              <w:spacing w:before="0" w:after="0"/>
              <w:ind w:hanging="0"/>
              <w:jc w:val="center"/>
              <w:rPr>
                <w:iCs/>
                <w:szCs w:val="24"/>
                <w:lang w:eastAsia="ru-RU"/>
              </w:rPr>
            </w:pPr>
            <w:r>
              <w:rPr>
                <w:iCs/>
                <w:sz w:val="20"/>
                <w:szCs w:val="24"/>
                <w:lang w:val="ru-RU" w:eastAsia="ru-RU"/>
                <w14:ligatures w14:val="none"/>
              </w:rPr>
              <w:t>-</w:t>
            </w:r>
          </w:p>
        </w:tc>
        <w:tc>
          <w:tcPr>
            <w:tcW w:w="1896" w:type="dxa"/>
            <w:tcBorders/>
            <w:vAlign w:val="center"/>
          </w:tcPr>
          <w:p>
            <w:pPr>
              <w:pStyle w:val="Normal"/>
              <w:widowControl w:val="false"/>
              <w:suppressAutoHyphens w:val="true"/>
              <w:spacing w:lineRule="auto" w:line="276" w:before="0" w:after="0"/>
              <w:ind w:hanging="0"/>
              <w:jc w:val="center"/>
              <w:rPr>
                <w:iCs/>
                <w:szCs w:val="24"/>
                <w:lang w:eastAsia="ru-RU"/>
              </w:rPr>
            </w:pPr>
            <w:r>
              <w:rPr>
                <w:iCs/>
                <w:sz w:val="20"/>
                <w:szCs w:val="24"/>
                <w:lang w:val="ru-RU" w:eastAsia="ru-RU"/>
                <w14:ligatures w14:val="none"/>
              </w:rPr>
              <w:t>1</w:t>
            </w:r>
          </w:p>
        </w:tc>
      </w:tr>
    </w:tbl>
    <w:p>
      <w:pPr>
        <w:pStyle w:val="ListParagraph"/>
        <w:spacing w:before="0" w:after="0"/>
        <w:ind w:left="0" w:right="0" w:firstLine="709"/>
        <w:contextualSpacing w:val="false"/>
        <w:rPr>
          <w:bCs/>
          <w:iCs/>
        </w:rPr>
      </w:pPr>
      <w:r>
        <w:rPr>
          <w:bCs/>
          <w:iCs/>
        </w:rPr>
      </w:r>
    </w:p>
    <w:p>
      <w:pPr>
        <w:pStyle w:val="Normal"/>
        <w:numPr>
          <w:ilvl w:val="2"/>
          <w:numId w:val="3"/>
        </w:numPr>
        <w:spacing w:before="0" w:after="0"/>
        <w:ind w:left="0" w:right="0" w:firstLine="709"/>
        <w:rPr/>
      </w:pPr>
      <w:r>
        <w:rPr/>
        <w:t>Используемые</w:t>
      </w:r>
      <w:r>
        <w:rPr>
          <w:bCs/>
          <w:iCs/>
        </w:rPr>
        <w:t xml:space="preserve"> в ходе оказания услуг транспортные средства должны быть специально оборудованы и снабжены специальными знаками.</w:t>
      </w:r>
    </w:p>
    <w:p>
      <w:pPr>
        <w:pStyle w:val="Normal"/>
        <w:numPr>
          <w:ilvl w:val="2"/>
          <w:numId w:val="3"/>
        </w:numPr>
        <w:spacing w:before="0" w:after="0"/>
        <w:ind w:left="0" w:right="0" w:firstLine="709"/>
        <w:rPr/>
      </w:pPr>
      <w:r>
        <w:rPr>
          <w:bCs/>
          <w:iCs/>
        </w:rPr>
        <w:t xml:space="preserve">Транспортное средство может быть на любом праве владения на правах собственности / аренды/ лизинга /ином законном праве владения. </w:t>
      </w:r>
    </w:p>
    <w:p>
      <w:pPr>
        <w:pStyle w:val="Normal"/>
        <w:numPr>
          <w:ilvl w:val="2"/>
          <w:numId w:val="3"/>
        </w:numPr>
        <w:spacing w:before="0" w:after="0"/>
        <w:ind w:left="0" w:right="0" w:firstLine="709"/>
        <w:rPr/>
      </w:pPr>
      <w:r>
        <w:rPr>
          <w:bCs/>
          <w:iCs/>
        </w:rPr>
        <w:t>В стоимость услуг техники включены все расходы по обслуживанию техники, ГСМ и накладные расходы, расходы на оплату труда лиц, управляющих техникой.</w:t>
      </w:r>
    </w:p>
    <w:p>
      <w:pPr>
        <w:pStyle w:val="Normal"/>
        <w:numPr>
          <w:ilvl w:val="2"/>
          <w:numId w:val="3"/>
        </w:numPr>
        <w:spacing w:before="0" w:after="0"/>
        <w:ind w:left="0" w:right="0" w:firstLine="709"/>
        <w:rPr/>
      </w:pPr>
      <w:r>
        <w:rPr>
          <w:bCs/>
          <w:iCs/>
        </w:rPr>
        <w:t>Исполнитель обязан нести все расходы, связанные с эксплуатацией спецтехники, включая, но не ограничиваясь расходы на заработную плату членам экипажей, оплату топлива, горюче-смазочных материалов и эксплуатационных жидкостей, оплату ремонта и запасных частей для спецтехники, оплату стоимости налоговых пошлин, страховых сборов, оплату штрафов, и иных расходов, возникающих в связи с эксплуатацией спецтехники.</w:t>
      </w:r>
    </w:p>
    <w:p>
      <w:pPr>
        <w:pStyle w:val="Normal"/>
        <w:numPr>
          <w:ilvl w:val="2"/>
          <w:numId w:val="3"/>
        </w:numPr>
        <w:spacing w:before="0" w:after="0"/>
        <w:ind w:left="0" w:right="0" w:firstLine="709"/>
        <w:rPr/>
      </w:pPr>
      <w:r>
        <w:rPr>
          <w:bCs/>
          <w:iCs/>
        </w:rPr>
        <w:t xml:space="preserve">Используемая техника должна находиться в технически исправном состоянии с заправкой ГСМ и необходимой документацией (в т.ч. путевым листом), укомплектованная необходимыми вспомогательными средствами: огнетушителем, аварийным знаком, аптечкой с медикаментами. </w:t>
      </w:r>
    </w:p>
    <w:p>
      <w:pPr>
        <w:pStyle w:val="Normal"/>
        <w:numPr>
          <w:ilvl w:val="2"/>
          <w:numId w:val="3"/>
        </w:numPr>
        <w:spacing w:before="0" w:after="0"/>
        <w:ind w:left="0" w:right="0" w:firstLine="709"/>
        <w:rPr/>
      </w:pPr>
      <w:r>
        <w:rPr>
          <w:bCs/>
          <w:iCs/>
        </w:rPr>
        <w:t>Исполнитель самостоятельно несет расходы по ГСМ, обслуживанию и подготовке техники, транспорта.</w:t>
      </w:r>
    </w:p>
    <w:p>
      <w:pPr>
        <w:pStyle w:val="Normal"/>
        <w:numPr>
          <w:ilvl w:val="2"/>
          <w:numId w:val="3"/>
        </w:numPr>
        <w:spacing w:before="0" w:after="0"/>
        <w:ind w:left="0" w:right="0" w:firstLine="709"/>
        <w:rPr/>
      </w:pPr>
      <w:r>
        <w:rPr>
          <w:bCs/>
          <w:iCs/>
        </w:rPr>
        <w:t>Исполнитель несет ответственность за техническое состояние техники. Исполнитель должен обеспечить соблюдение водителями (машинистами) правил и инструкций по охране труда, безопасности дорожного движения, пожарной и электробезопасности во время оказания услуг.</w:t>
      </w:r>
    </w:p>
    <w:p>
      <w:pPr>
        <w:pStyle w:val="Normal"/>
        <w:numPr>
          <w:ilvl w:val="2"/>
          <w:numId w:val="3"/>
        </w:numPr>
        <w:spacing w:before="0" w:after="0"/>
        <w:ind w:left="0" w:right="0" w:firstLine="709"/>
        <w:rPr/>
      </w:pPr>
      <w:r>
        <w:rPr>
          <w:bCs/>
          <w:iCs/>
        </w:rPr>
        <w:t>Исполнитель обязан при невозможности использования спецтехники (ДТП, постановка в ремонт / на техническое обслуживание, угон ТС, иные причины) незамедлительно уведомить об этом. Время простоя, по причине неисправной техники, не оплачивается.</w:t>
      </w:r>
    </w:p>
    <w:p>
      <w:pPr>
        <w:pStyle w:val="Normal"/>
        <w:numPr>
          <w:ilvl w:val="2"/>
          <w:numId w:val="3"/>
        </w:numPr>
        <w:spacing w:before="0" w:after="0"/>
        <w:ind w:left="0" w:right="0" w:firstLine="709"/>
        <w:rPr/>
      </w:pPr>
      <w:r>
        <w:rPr>
          <w:bCs/>
          <w:iCs/>
        </w:rPr>
        <w:t>Лица, управляющие техникой, должны иметь действующие квалификационные удостоверения на работу с техникой и водительское удостоверение с разрешенной категорией.</w:t>
      </w:r>
    </w:p>
    <w:p>
      <w:pPr>
        <w:pStyle w:val="Normal"/>
        <w:numPr>
          <w:ilvl w:val="2"/>
          <w:numId w:val="3"/>
        </w:numPr>
        <w:spacing w:before="0" w:after="0"/>
        <w:ind w:left="0" w:right="0" w:firstLine="709"/>
        <w:rPr/>
      </w:pPr>
      <w:r>
        <w:rPr>
          <w:bCs/>
          <w:iCs/>
        </w:rPr>
        <w:t>Исполнитель должен соблюдать требования технологической, производственной и трудовой дисциплины.</w:t>
      </w:r>
    </w:p>
    <w:p>
      <w:pPr>
        <w:pStyle w:val="Normal"/>
        <w:numPr>
          <w:ilvl w:val="2"/>
          <w:numId w:val="3"/>
        </w:numPr>
        <w:spacing w:before="0" w:after="0"/>
        <w:ind w:left="0" w:right="0" w:firstLine="709"/>
        <w:rPr/>
      </w:pPr>
      <w:r>
        <w:rPr>
          <w:bCs/>
          <w:iCs/>
        </w:rPr>
        <w:t>Исполнитель должен иметь в наличии материально-технические ресурсы, необходимых для оказания запланированного комплекса, в том числе:</w:t>
      </w:r>
    </w:p>
    <w:tbl>
      <w:tblPr>
        <w:tblStyle w:val="af4"/>
        <w:tblW w:w="9570" w:type="dxa"/>
        <w:jc w:val="left"/>
        <w:tblInd w:w="567" w:type="dxa"/>
        <w:tblLayout w:type="fixed"/>
        <w:tblCellMar>
          <w:top w:w="0" w:type="dxa"/>
          <w:left w:w="108" w:type="dxa"/>
          <w:bottom w:w="0" w:type="dxa"/>
          <w:right w:w="108" w:type="dxa"/>
        </w:tblCellMar>
        <w:tblLook w:noVBand="1" w:val="04a0" w:noHBand="0" w:lastColumn="0" w:firstColumn="1" w:lastRow="0" w:firstRow="1"/>
      </w:tblPr>
      <w:tblGrid>
        <w:gridCol w:w="817"/>
        <w:gridCol w:w="3968"/>
        <w:gridCol w:w="2392"/>
        <w:gridCol w:w="2392"/>
      </w:tblGrid>
      <w:tr>
        <w:trPr/>
        <w:tc>
          <w:tcPr>
            <w:tcW w:w="817" w:type="dxa"/>
            <w:tcBorders/>
            <w:vAlign w:val="center"/>
          </w:tcPr>
          <w:p>
            <w:pPr>
              <w:pStyle w:val="ListParagraph"/>
              <w:widowControl w:val="false"/>
              <w:suppressAutoHyphens w:val="true"/>
              <w:spacing w:before="0" w:after="0"/>
              <w:ind w:left="0" w:hanging="0"/>
              <w:contextualSpacing/>
              <w:jc w:val="center"/>
              <w:rPr>
                <w:sz w:val="20"/>
                <w:szCs w:val="20"/>
              </w:rPr>
            </w:pPr>
            <w:r>
              <w:rPr>
                <w:b/>
                <w:bCs/>
                <w:iCs/>
                <w:sz w:val="20"/>
                <w:szCs w:val="20"/>
                <w:lang w:val="ru-RU" w:eastAsia="ru-RU"/>
              </w:rPr>
              <w:t xml:space="preserve">№ </w:t>
            </w:r>
            <w:r>
              <w:rPr>
                <w:b/>
                <w:bCs/>
                <w:iCs/>
                <w:sz w:val="20"/>
                <w:szCs w:val="20"/>
                <w:lang w:val="ru-RU" w:eastAsia="ru-RU"/>
              </w:rPr>
              <w:t>п/п</w:t>
            </w:r>
          </w:p>
        </w:tc>
        <w:tc>
          <w:tcPr>
            <w:tcW w:w="3968" w:type="dxa"/>
            <w:tcBorders/>
            <w:vAlign w:val="center"/>
          </w:tcPr>
          <w:p>
            <w:pPr>
              <w:pStyle w:val="ListParagraph"/>
              <w:widowControl w:val="false"/>
              <w:suppressAutoHyphens w:val="true"/>
              <w:spacing w:before="0" w:after="0"/>
              <w:ind w:left="0" w:hanging="0"/>
              <w:contextualSpacing/>
              <w:jc w:val="center"/>
              <w:rPr>
                <w:sz w:val="20"/>
                <w:szCs w:val="20"/>
              </w:rPr>
            </w:pPr>
            <w:r>
              <w:rPr>
                <w:b/>
                <w:bCs/>
                <w:iCs/>
                <w:sz w:val="20"/>
                <w:szCs w:val="20"/>
                <w:lang w:val="ru-RU" w:eastAsia="ru-RU"/>
              </w:rPr>
              <w:t>Средства малой механизации</w:t>
            </w:r>
          </w:p>
        </w:tc>
        <w:tc>
          <w:tcPr>
            <w:tcW w:w="2392" w:type="dxa"/>
            <w:tcBorders/>
            <w:vAlign w:val="center"/>
          </w:tcPr>
          <w:p>
            <w:pPr>
              <w:pStyle w:val="ListParagraph"/>
              <w:widowControl w:val="false"/>
              <w:suppressAutoHyphens w:val="true"/>
              <w:spacing w:before="0" w:after="0"/>
              <w:ind w:left="0" w:hanging="0"/>
              <w:contextualSpacing/>
              <w:jc w:val="center"/>
              <w:rPr>
                <w:sz w:val="20"/>
                <w:szCs w:val="20"/>
              </w:rPr>
            </w:pPr>
            <w:r>
              <w:rPr>
                <w:b/>
                <w:bCs/>
                <w:iCs/>
                <w:sz w:val="20"/>
                <w:szCs w:val="20"/>
                <w:lang w:val="ru-RU" w:eastAsia="ru-RU"/>
              </w:rPr>
              <w:t>Характеристика</w:t>
            </w:r>
          </w:p>
        </w:tc>
        <w:tc>
          <w:tcPr>
            <w:tcW w:w="2392" w:type="dxa"/>
            <w:tcBorders/>
            <w:vAlign w:val="center"/>
          </w:tcPr>
          <w:p>
            <w:pPr>
              <w:pStyle w:val="ListParagraph"/>
              <w:widowControl w:val="false"/>
              <w:suppressAutoHyphens w:val="true"/>
              <w:spacing w:before="0" w:after="0"/>
              <w:ind w:left="0" w:hanging="0"/>
              <w:contextualSpacing/>
              <w:jc w:val="center"/>
              <w:rPr>
                <w:sz w:val="20"/>
                <w:szCs w:val="20"/>
              </w:rPr>
            </w:pPr>
            <w:r>
              <w:rPr>
                <w:b/>
                <w:bCs/>
                <w:iCs/>
                <w:sz w:val="20"/>
                <w:szCs w:val="20"/>
                <w:lang w:val="ru-RU" w:eastAsia="ru-RU"/>
              </w:rPr>
              <w:t>Количество (не менее)</w:t>
            </w:r>
          </w:p>
        </w:tc>
      </w:tr>
      <w:tr>
        <w:trPr/>
        <w:tc>
          <w:tcPr>
            <w:tcW w:w="817" w:type="dxa"/>
            <w:tcBorders/>
            <w:vAlign w:val="center"/>
          </w:tcPr>
          <w:p>
            <w:pPr>
              <w:pStyle w:val="ListParagraph"/>
              <w:widowControl w:val="false"/>
              <w:suppressAutoHyphens w:val="true"/>
              <w:spacing w:before="0" w:after="0"/>
              <w:ind w:left="0" w:hanging="0"/>
              <w:contextualSpacing/>
              <w:jc w:val="center"/>
              <w:rPr>
                <w:sz w:val="20"/>
                <w:szCs w:val="20"/>
              </w:rPr>
            </w:pPr>
            <w:r>
              <w:rPr>
                <w:bCs/>
                <w:iCs/>
                <w:sz w:val="20"/>
                <w:szCs w:val="20"/>
                <w:lang w:val="ru-RU" w:eastAsia="ru-RU"/>
              </w:rPr>
              <w:t>1</w:t>
            </w:r>
          </w:p>
        </w:tc>
        <w:tc>
          <w:tcPr>
            <w:tcW w:w="3968" w:type="dxa"/>
            <w:tcBorders/>
            <w:vAlign w:val="center"/>
          </w:tcPr>
          <w:p>
            <w:pPr>
              <w:pStyle w:val="ListParagraph"/>
              <w:widowControl w:val="false"/>
              <w:suppressAutoHyphens w:val="true"/>
              <w:spacing w:before="0" w:after="0"/>
              <w:ind w:left="0" w:hanging="0"/>
              <w:contextualSpacing/>
              <w:jc w:val="center"/>
              <w:rPr>
                <w:sz w:val="20"/>
                <w:szCs w:val="20"/>
              </w:rPr>
            </w:pPr>
            <w:r>
              <w:rPr>
                <w:bCs/>
                <w:iCs/>
                <w:sz w:val="20"/>
                <w:szCs w:val="20"/>
                <w:lang w:val="ru-RU" w:eastAsia="ru-RU"/>
              </w:rPr>
              <w:t>Ручное устройство для образования лунок (РУДОЛ)</w:t>
            </w:r>
          </w:p>
        </w:tc>
        <w:tc>
          <w:tcPr>
            <w:tcW w:w="2392" w:type="dxa"/>
            <w:tcBorders/>
            <w:vAlign w:val="center"/>
          </w:tcPr>
          <w:p>
            <w:pPr>
              <w:pStyle w:val="ListParagraph"/>
              <w:widowControl w:val="false"/>
              <w:suppressAutoHyphens w:val="true"/>
              <w:spacing w:before="0" w:after="0"/>
              <w:ind w:left="0" w:hanging="0"/>
              <w:contextualSpacing/>
              <w:jc w:val="center"/>
              <w:rPr>
                <w:sz w:val="20"/>
                <w:szCs w:val="20"/>
              </w:rPr>
            </w:pPr>
            <w:r>
              <w:rPr>
                <w:bCs/>
                <w:iCs/>
                <w:sz w:val="20"/>
                <w:szCs w:val="20"/>
                <w:lang w:val="ru-RU" w:eastAsia="ru-RU"/>
              </w:rPr>
              <w:t>-</w:t>
            </w:r>
          </w:p>
        </w:tc>
        <w:tc>
          <w:tcPr>
            <w:tcW w:w="2392" w:type="dxa"/>
            <w:tcBorders/>
            <w:vAlign w:val="center"/>
          </w:tcPr>
          <w:p>
            <w:pPr>
              <w:pStyle w:val="ListParagraph"/>
              <w:widowControl w:val="false"/>
              <w:suppressAutoHyphens w:val="true"/>
              <w:spacing w:before="0" w:after="0"/>
              <w:ind w:left="0" w:hanging="0"/>
              <w:contextualSpacing/>
              <w:jc w:val="center"/>
              <w:rPr>
                <w:sz w:val="20"/>
                <w:szCs w:val="20"/>
              </w:rPr>
            </w:pPr>
            <w:r>
              <w:rPr>
                <w:bCs/>
                <w:iCs/>
                <w:sz w:val="20"/>
                <w:szCs w:val="20"/>
                <w:lang w:val="ru-RU" w:eastAsia="ru-RU"/>
              </w:rPr>
              <w:t>1</w:t>
            </w:r>
          </w:p>
        </w:tc>
      </w:tr>
    </w:tbl>
    <w:p>
      <w:pPr>
        <w:pStyle w:val="ListParagraph"/>
        <w:spacing w:before="0" w:after="0"/>
        <w:ind w:left="0" w:right="0" w:firstLine="709"/>
        <w:contextualSpacing w:val="false"/>
        <w:rPr>
          <w:bCs/>
          <w:iCs/>
        </w:rPr>
      </w:pPr>
      <w:r>
        <w:rPr>
          <w:bCs/>
          <w:iCs/>
        </w:rPr>
      </w:r>
    </w:p>
    <w:p>
      <w:pPr>
        <w:pStyle w:val="Normal"/>
        <w:numPr>
          <w:ilvl w:val="1"/>
          <w:numId w:val="3"/>
        </w:numPr>
        <w:spacing w:before="0" w:after="0"/>
        <w:ind w:left="0" w:right="0" w:firstLine="709"/>
        <w:rPr/>
      </w:pPr>
      <w:r>
        <w:rPr>
          <w:b/>
          <w:bCs/>
          <w:iCs/>
          <w14:ligatures w14:val="none"/>
        </w:rPr>
        <w:t>Требования</w:t>
      </w:r>
      <w:r>
        <w:rPr>
          <w:b/>
          <w:bCs/>
          <w:iCs/>
        </w:rPr>
        <w:t xml:space="preserve"> к количественному составу и квалификации персонала</w:t>
      </w:r>
    </w:p>
    <w:p>
      <w:pPr>
        <w:pStyle w:val="Normal"/>
        <w:numPr>
          <w:ilvl w:val="2"/>
          <w:numId w:val="3"/>
        </w:numPr>
        <w:spacing w:before="0" w:after="0"/>
        <w:ind w:left="0" w:right="0" w:firstLine="709"/>
        <w:rPr/>
      </w:pPr>
      <w:r>
        <w:rPr>
          <w:rFonts w:cs="Times New Roman"/>
          <w:iCs/>
          <w:color w:val="auto"/>
          <w:szCs w:val="24"/>
          <w:lang w:eastAsia="ru-RU" w:bidi="ar-SA"/>
        </w:rPr>
        <w:t xml:space="preserve">Исполнитель для проведения работ обязуется направить на объект для проведения работ персонал в </w:t>
      </w:r>
      <w:r>
        <w:rPr>
          <w:iCs/>
        </w:rPr>
        <w:t>количественном</w:t>
      </w:r>
      <w:r>
        <w:rPr>
          <w:rFonts w:cs="Times New Roman"/>
          <w:iCs/>
          <w:color w:val="auto"/>
          <w:szCs w:val="24"/>
          <w:lang w:eastAsia="ru-RU" w:bidi="ar-SA"/>
        </w:rPr>
        <w:t xml:space="preserve"> составе, необходимом для выполнения работ в объеме, указанном в настоящих технических требованиях. До проведения работ Исполнитель назначает лиц, ответственных за выполнение работ, с правом  подписи в акте-допуске и правами выдачи нарядов- допусков на выполняемые  работы по предварительному согласованию с представителем Заказчика на объекте (руководитель работ, производитель работ).</w:t>
      </w:r>
    </w:p>
    <w:p>
      <w:pPr>
        <w:pStyle w:val="Normal"/>
        <w:numPr>
          <w:ilvl w:val="2"/>
          <w:numId w:val="3"/>
        </w:numPr>
        <w:spacing w:before="0" w:after="0"/>
        <w:ind w:left="0" w:right="0" w:firstLine="709"/>
        <w:rPr/>
      </w:pPr>
      <w:r>
        <w:rPr>
          <w:rFonts w:cs="Times New Roman"/>
          <w:iCs/>
          <w:color w:val="auto"/>
          <w:szCs w:val="24"/>
          <w:lang w:eastAsia="ru-RU" w:bidi="ar-SA"/>
        </w:rPr>
        <w:t>Исполнитель допускается на объект, в соответствии с нормативно-правовыми актами по охране труда, Методике допуска персонала подрядных организаций к выполнению работ на объектах Общества, утвержденную приказом ПАО «РусГидро» от 28.04.2023 № 300 «Об утверждении Регламента процесса «Допуск персонала подрядных организаций на объекты ПАО «РусГидро», Инструкции о пропускном и внитриобъектовом режимах филиала ПАО «Русгидро».</w:t>
      </w:r>
    </w:p>
    <w:p>
      <w:pPr>
        <w:pStyle w:val="Normal"/>
        <w:numPr>
          <w:ilvl w:val="2"/>
          <w:numId w:val="3"/>
        </w:numPr>
        <w:spacing w:before="0" w:after="0"/>
        <w:ind w:left="0" w:right="0" w:firstLine="709"/>
        <w:rPr/>
      </w:pPr>
      <w:r>
        <w:rPr>
          <w:rFonts w:cs="Times New Roman"/>
          <w:iCs/>
          <w:color w:val="auto"/>
          <w:szCs w:val="24"/>
          <w:lang w:eastAsia="ru-RU" w:bidi="ar-SA"/>
        </w:rPr>
        <w:t>Работы /услуги на объектах выполняются в соответствии со следующими требованиями:</w:t>
      </w:r>
    </w:p>
    <w:p>
      <w:pPr>
        <w:pStyle w:val="ListParagraph"/>
        <w:widowControl/>
        <w:snapToGrid w:val="true"/>
        <w:spacing w:before="0" w:after="0"/>
        <w:ind w:left="0" w:right="0" w:firstLine="709"/>
        <w:contextualSpacing w:val="false"/>
        <w:rPr/>
      </w:pPr>
      <w:r>
        <w:rPr>
          <w:rFonts w:cs="Times New Roman"/>
          <w:iCs/>
          <w:color w:val="auto"/>
          <w:szCs w:val="24"/>
          <w:lang w:eastAsia="ru-RU" w:bidi="ar-SA"/>
        </w:rPr>
        <w:t xml:space="preserve"> </w:t>
      </w:r>
      <w:r>
        <w:rPr>
          <w:rFonts w:cs="Times New Roman"/>
          <w:iCs/>
          <w:color w:val="auto"/>
          <w:szCs w:val="24"/>
          <w:lang w:eastAsia="ru-RU" w:bidi="ar-SA"/>
        </w:rPr>
        <w:t>- СТО РусГидро 02.01.80-2012 «Гидротехнические сооружения ГЭС и ГАЭС. Правила эксплуатации. Нормы и требования»,</w:t>
      </w:r>
    </w:p>
    <w:p>
      <w:pPr>
        <w:pStyle w:val="ListParagraph"/>
        <w:widowControl/>
        <w:snapToGrid w:val="true"/>
        <w:spacing w:before="0" w:after="0"/>
        <w:ind w:left="0" w:right="0" w:firstLine="709"/>
        <w:contextualSpacing w:val="false"/>
        <w:rPr/>
      </w:pPr>
      <w:r>
        <w:rPr>
          <w:rFonts w:cs="Times New Roman"/>
          <w:iCs/>
          <w:color w:val="auto"/>
          <w:szCs w:val="24"/>
          <w:lang w:eastAsia="ru-RU" w:bidi="ar-SA"/>
        </w:rPr>
        <w:t xml:space="preserve"> </w:t>
      </w:r>
      <w:r>
        <w:rPr>
          <w:rFonts w:cs="Times New Roman"/>
          <w:iCs/>
          <w:color w:val="auto"/>
          <w:szCs w:val="24"/>
          <w:lang w:eastAsia="ru-RU" w:bidi="ar-SA"/>
        </w:rPr>
        <w:t xml:space="preserve">- СТО РусГидро 05.02.126-2020 «Правила организации безопасного обслуживания, гидротехнических сооружений, гидросилового и гидромеханического оборудования гидроэлектростанций», </w:t>
      </w:r>
    </w:p>
    <w:p>
      <w:pPr>
        <w:pStyle w:val="ListParagraph"/>
        <w:widowControl/>
        <w:snapToGrid w:val="true"/>
        <w:spacing w:before="0" w:after="0"/>
        <w:ind w:left="0" w:right="0" w:firstLine="709"/>
        <w:contextualSpacing w:val="false"/>
        <w:rPr/>
      </w:pPr>
      <w:r>
        <w:rPr>
          <w:rFonts w:cs="Times New Roman"/>
          <w:iCs/>
          <w:color w:val="auto"/>
          <w:szCs w:val="24"/>
          <w:lang w:eastAsia="ru-RU" w:bidi="ar-SA"/>
        </w:rPr>
        <w:t>- СТО РусГидро 02.01.62 – 2012  ГИДРОЭЛЕКТРОСТАНЦИИ.РЕМОНТ И ТЕХНИЧЕСКОЕ ОБСЛУЖИВАНИЕ ОБОРУДОВАНИЯ, ЗДАНИЙ И СООРУЖЕНИЙ.ОРГАНИЗАЦИЯ ПРОИЗВОДСТВЕННЫХ ПРОЦЕССОВ. НОРМЫ И ТРЕБОВАНИЯ,</w:t>
      </w:r>
    </w:p>
    <w:p>
      <w:pPr>
        <w:pStyle w:val="ListParagraph"/>
        <w:widowControl/>
        <w:snapToGrid w:val="true"/>
        <w:spacing w:before="0" w:after="0"/>
        <w:ind w:left="0" w:right="0" w:firstLine="709"/>
        <w:contextualSpacing w:val="false"/>
        <w:rPr/>
      </w:pPr>
      <w:r>
        <w:rPr>
          <w:rFonts w:cs="Times New Roman"/>
          <w:iCs/>
          <w:color w:val="auto"/>
          <w:szCs w:val="24"/>
          <w:lang w:eastAsia="ru-RU" w:bidi="ar-SA"/>
        </w:rPr>
        <w:t xml:space="preserve">-   Приказа от 15 декабря 2020 г. N 903н «Об утверждении правил по охране труда при эксплуатации электроустановок», </w:t>
      </w:r>
    </w:p>
    <w:p>
      <w:pPr>
        <w:pStyle w:val="Normal"/>
        <w:widowControl/>
        <w:tabs>
          <w:tab w:val="clear" w:pos="708"/>
          <w:tab w:val="left" w:pos="735" w:leader="none"/>
        </w:tabs>
        <w:snapToGrid w:val="true"/>
        <w:spacing w:before="0" w:after="0"/>
        <w:ind w:left="0" w:right="0" w:firstLine="709"/>
        <w:rPr/>
      </w:pPr>
      <w:r>
        <w:rPr>
          <w:rFonts w:cs="Times New Roman"/>
          <w:iCs/>
          <w:color w:val="auto"/>
          <w:szCs w:val="24"/>
          <w:lang w:eastAsia="ru-RU" w:bidi="ar-SA"/>
        </w:rPr>
        <w:t>-   Национального стандарта РФ  ГОСТ Р 55260.1.7-2013,</w:t>
      </w:r>
    </w:p>
    <w:p>
      <w:pPr>
        <w:pStyle w:val="Normal"/>
        <w:widowControl/>
        <w:snapToGrid w:val="true"/>
        <w:spacing w:before="0" w:after="0"/>
        <w:ind w:left="0" w:right="0" w:firstLine="709"/>
        <w:rPr/>
      </w:pPr>
      <w:r>
        <w:rPr>
          <w:rFonts w:cs="Times New Roman"/>
          <w:iCs/>
          <w:color w:val="auto"/>
          <w:szCs w:val="24"/>
          <w:lang w:eastAsia="ru-RU" w:bidi="ar-SA"/>
        </w:rPr>
        <w:t xml:space="preserve">-   Приказа Минтруда России от 27.11.2020 N 835н "Об утверждении Правил по охране труда при работе с инструментом и приспособлениями" (Зарегистрировано в Минюсте России 11.12.2020 N 61411), </w:t>
      </w:r>
    </w:p>
    <w:p>
      <w:pPr>
        <w:pStyle w:val="ListParagraph"/>
        <w:widowControl/>
        <w:snapToGrid w:val="true"/>
        <w:spacing w:before="0" w:after="0"/>
        <w:ind w:left="0" w:right="0" w:firstLine="709"/>
        <w:contextualSpacing w:val="false"/>
        <w:rPr/>
      </w:pPr>
      <w:r>
        <w:rPr>
          <w:rFonts w:cs="Times New Roman"/>
          <w:iCs/>
          <w:color w:val="auto"/>
          <w:szCs w:val="24"/>
          <w:lang w:eastAsia="ru-RU" w:bidi="ar-SA"/>
        </w:rPr>
        <w:t>-  Федерального закона от 22.07.2008 № 123-ФЗ «Технический регламент о требованиях пожарной безопасности»,</w:t>
      </w:r>
    </w:p>
    <w:p>
      <w:pPr>
        <w:pStyle w:val="ListParagraph"/>
        <w:widowControl/>
        <w:snapToGrid w:val="true"/>
        <w:spacing w:before="0" w:after="0"/>
        <w:ind w:left="0" w:right="0" w:firstLine="709"/>
        <w:contextualSpacing w:val="false"/>
        <w:rPr/>
      </w:pPr>
      <w:r>
        <w:rPr>
          <w:rFonts w:cs="Times New Roman"/>
          <w:iCs/>
          <w:color w:val="auto"/>
          <w:szCs w:val="24"/>
          <w:lang w:eastAsia="ru-RU" w:bidi="ar-SA"/>
        </w:rPr>
        <w:t>-  Федерального закона от 24.06.1998 № 89-ФЗ «Об отходах производства и потребления»,</w:t>
      </w:r>
    </w:p>
    <w:p>
      <w:pPr>
        <w:pStyle w:val="ListParagraph"/>
        <w:widowControl/>
        <w:snapToGrid w:val="true"/>
        <w:spacing w:before="0" w:after="0"/>
        <w:ind w:left="0" w:right="0" w:firstLine="709"/>
        <w:contextualSpacing w:val="false"/>
        <w:rPr/>
      </w:pPr>
      <w:r>
        <w:rPr>
          <w:rFonts w:cs="Times New Roman"/>
          <w:iCs/>
          <w:color w:val="auto"/>
          <w:szCs w:val="24"/>
          <w:lang w:eastAsia="ru-RU" w:bidi="ar-SA"/>
        </w:rPr>
        <w:t>- Федерального закона от 10.01.2002 № 7-ФЗ «Об охране окружающей среды», Федерального закона от 30.03.1999 №52-ФЗ «О санитарно-эпидемиологическом благополучии населения»,</w:t>
      </w:r>
    </w:p>
    <w:p>
      <w:pPr>
        <w:pStyle w:val="ListParagraph"/>
        <w:widowControl/>
        <w:snapToGrid w:val="true"/>
        <w:spacing w:before="0" w:after="0"/>
        <w:ind w:left="0" w:right="0" w:firstLine="709"/>
        <w:contextualSpacing w:val="false"/>
        <w:rPr/>
      </w:pPr>
      <w:r>
        <w:rPr>
          <w:rFonts w:cs="Times New Roman"/>
          <w:iCs/>
          <w:color w:val="auto"/>
          <w:szCs w:val="24"/>
          <w:lang w:eastAsia="ru-RU" w:bidi="ar-SA"/>
        </w:rPr>
        <w:t xml:space="preserve">- Экологическая политика ПАО «РусГидро», </w:t>
      </w:r>
    </w:p>
    <w:p>
      <w:pPr>
        <w:pStyle w:val="Normal"/>
        <w:widowControl/>
        <w:snapToGrid w:val="true"/>
        <w:spacing w:before="0" w:after="0"/>
        <w:ind w:left="0" w:right="0" w:firstLine="709"/>
        <w:rPr/>
      </w:pPr>
      <w:r>
        <w:rPr>
          <w:rFonts w:cs="Times New Roman"/>
          <w:iCs/>
          <w:color w:val="auto"/>
          <w:szCs w:val="24"/>
          <w:lang w:eastAsia="ru-RU" w:bidi="ar-SA"/>
        </w:rPr>
        <w:t>- Приказа  Минтруда России от 29 октября 2021 года № 772н «Об утверждении основных требований к порядку разработки и содержанию правил и  инструкций по охране труда»</w:t>
      </w:r>
    </w:p>
    <w:p>
      <w:pPr>
        <w:pStyle w:val="Normal"/>
        <w:numPr>
          <w:ilvl w:val="2"/>
          <w:numId w:val="3"/>
        </w:numPr>
        <w:spacing w:before="0" w:after="0"/>
        <w:ind w:left="0" w:right="0" w:firstLine="709"/>
        <w:rPr/>
      </w:pPr>
      <w:r>
        <w:rPr>
          <w:rFonts w:cs="Times New Roman"/>
          <w:iCs/>
          <w:color w:val="auto"/>
          <w:szCs w:val="24"/>
          <w:lang w:eastAsia="ru-RU" w:bidi="ar-SA"/>
        </w:rPr>
        <w:t xml:space="preserve">Исполнитель до начала работ согласовывает с Филиалом, необходимые для выполнения работ, организационно-технологические документы. </w:t>
      </w:r>
    </w:p>
    <w:p>
      <w:pPr>
        <w:pStyle w:val="Normal"/>
        <w:numPr>
          <w:ilvl w:val="2"/>
          <w:numId w:val="3"/>
        </w:numPr>
        <w:spacing w:before="0" w:after="0"/>
        <w:ind w:left="0" w:right="0" w:firstLine="709"/>
        <w:rPr/>
      </w:pPr>
      <w:r>
        <w:rPr>
          <w:rFonts w:cs="Times New Roman"/>
          <w:iCs/>
          <w:color w:val="auto"/>
          <w:szCs w:val="24"/>
          <w:lang w:eastAsia="ru-RU" w:bidi="ar-SA"/>
        </w:rPr>
        <w:t>Документы, подтверждающие квалификацию персонала, прохождение обучения, необходимого для выполнения работ,  Исполнитель предоставляет после заключения договора до начала предоставления/выполнения услуг на объекте представителю Заказчика в Филиале.</w:t>
      </w:r>
    </w:p>
    <w:p>
      <w:pPr>
        <w:pStyle w:val="Normal"/>
        <w:spacing w:before="0" w:after="0"/>
        <w:ind w:left="0" w:right="0" w:firstLine="709"/>
        <w:rPr>
          <w:i/>
          <w:i/>
        </w:rPr>
      </w:pPr>
      <w:r>
        <w:rPr>
          <w:i/>
        </w:rPr>
      </w:r>
    </w:p>
    <w:p>
      <w:pPr>
        <w:pStyle w:val="Normal"/>
        <w:numPr>
          <w:ilvl w:val="1"/>
          <w:numId w:val="3"/>
        </w:numPr>
        <w:ind w:left="0" w:right="0" w:firstLine="709"/>
        <w:rPr/>
      </w:pPr>
      <w:r>
        <w:rPr>
          <w:rFonts w:cs="Times New Roman"/>
          <w:b/>
          <w:bCs/>
          <w:iCs/>
          <w:color w:val="auto"/>
          <w:szCs w:val="24"/>
          <w:lang w:eastAsia="ru-RU" w:bidi="ar-SA"/>
        </w:rPr>
        <w:t>Обязанности</w:t>
      </w:r>
      <w:r>
        <w:rPr>
          <w:b/>
          <w:bCs/>
          <w:iCs/>
        </w:rPr>
        <w:t xml:space="preserve"> Исполнителя</w:t>
      </w:r>
    </w:p>
    <w:p>
      <w:pPr>
        <w:pStyle w:val="Normal"/>
        <w:numPr>
          <w:ilvl w:val="2"/>
          <w:numId w:val="3"/>
        </w:numPr>
        <w:ind w:left="0" w:right="0" w:firstLine="709"/>
        <w:rPr/>
      </w:pPr>
      <w:r>
        <w:rPr>
          <w:rFonts w:cs="Times New Roman"/>
          <w:iCs/>
          <w:color w:val="auto"/>
          <w:szCs w:val="24"/>
          <w:lang w:eastAsia="ru-RU" w:bidi="ar-SA"/>
        </w:rPr>
        <w:t>Исполнитель</w:t>
      </w:r>
      <w:r>
        <w:rPr/>
        <w:t xml:space="preserve"> комплектует за свой счет в местах оказания Услуг пункты сосредоточения </w:t>
      </w:r>
      <w:r>
        <w:rPr>
          <w:rFonts w:cs="Times New Roman"/>
          <w:iCs/>
          <w:color w:val="auto"/>
          <w:szCs w:val="24"/>
          <w:lang w:eastAsia="ru-RU" w:bidi="ar-SA"/>
        </w:rPr>
        <w:t>противопожарного</w:t>
      </w:r>
      <w:r>
        <w:rPr/>
        <w:t xml:space="preserve"> инвентаря (ПСПИ) средствами пожаротушения в соответствии с утвержденными Проектом лесного законодательства, нормами наличия средств пожаротушения;</w:t>
      </w:r>
    </w:p>
    <w:p>
      <w:pPr>
        <w:pStyle w:val="Normal"/>
        <w:numPr>
          <w:ilvl w:val="2"/>
          <w:numId w:val="3"/>
        </w:numPr>
        <w:ind w:left="0" w:right="0" w:firstLine="709"/>
        <w:rPr/>
      </w:pPr>
      <w:r>
        <w:rPr/>
        <w:t xml:space="preserve">Перед началом оказания работ необходимо убедиться в отсутствии в зоне оказания услуг людей, животных, учесть особенности местности, а также близлежащие конструкции и сооружения, которые могут быть повреждены при оказании услуг. </w:t>
      </w:r>
    </w:p>
    <w:p>
      <w:pPr>
        <w:pStyle w:val="Normal"/>
        <w:numPr>
          <w:ilvl w:val="2"/>
          <w:numId w:val="3"/>
        </w:numPr>
        <w:ind w:left="0" w:right="0" w:firstLine="709"/>
        <w:rPr/>
      </w:pPr>
      <w:r>
        <w:rPr/>
        <w:t>Исполнитель самостоятельно подготавливает места посадки сеянцев, саженцев  с предварительной подготовкой почвы для посадки согласно ГОСТ Р 58004-2017 Лесовосстановление.</w:t>
      </w:r>
    </w:p>
    <w:p>
      <w:pPr>
        <w:pStyle w:val="Normal"/>
        <w:numPr>
          <w:ilvl w:val="2"/>
          <w:numId w:val="3"/>
        </w:numPr>
        <w:ind w:left="0" w:right="0" w:firstLine="709"/>
        <w:rPr/>
      </w:pPr>
      <w:r>
        <w:rPr/>
        <w:t xml:space="preserve">Исполнитель самостоятельно приобретает саженцы, сеянцы для посадки и по согласованию с филиалом </w:t>
      </w:r>
    </w:p>
    <w:p>
      <w:pPr>
        <w:pStyle w:val="Normal"/>
        <w:numPr>
          <w:ilvl w:val="2"/>
          <w:numId w:val="3"/>
        </w:numPr>
        <w:ind w:left="0" w:right="0" w:firstLine="709"/>
        <w:rPr/>
      </w:pPr>
      <w:r>
        <w:rPr/>
        <w:t>Исполнитель осуществляет посадку саженцев, сеянцев соблюдая требования лесного законодательства.</w:t>
      </w:r>
    </w:p>
    <w:p>
      <w:pPr>
        <w:pStyle w:val="Normal"/>
        <w:numPr>
          <w:ilvl w:val="2"/>
          <w:numId w:val="3"/>
        </w:numPr>
        <w:ind w:left="0" w:right="0" w:firstLine="709"/>
        <w:rPr/>
      </w:pPr>
      <w:r>
        <w:rPr/>
        <w:t>Исполнитель самостоятельно обеспечивает выкопку и доставку посадочного материала. Хранение посадочного материала осуществляется силами и средствами Исполнителя</w:t>
      </w:r>
    </w:p>
    <w:p>
      <w:pPr>
        <w:pStyle w:val="Normal"/>
        <w:numPr>
          <w:ilvl w:val="2"/>
          <w:numId w:val="3"/>
        </w:numPr>
        <w:ind w:left="0" w:right="0" w:firstLine="709"/>
        <w:rPr/>
      </w:pPr>
      <w:r>
        <w:rPr/>
        <w:t>Исполнитель обеспечивает при оказании услуг на объектах Заказчика: - соблюдение правил техники безопасности и охраны труда, охраны окружающей среды и объектов собственности Заказчика.</w:t>
      </w:r>
    </w:p>
    <w:p>
      <w:pPr>
        <w:pStyle w:val="Normal"/>
        <w:numPr>
          <w:ilvl w:val="2"/>
          <w:numId w:val="3"/>
        </w:numPr>
        <w:ind w:left="0" w:right="0" w:firstLine="709"/>
        <w:rPr/>
      </w:pPr>
      <w:r>
        <w:rPr/>
        <w:t>Исполнитель несет ответственность за все действия своего персонала, в том числе и за соблюдение персоналом законодательства Российской Федерации. Исполнитель принимает меры по предотвращению возможного причинения вреда, связанного с оказанием услуг, а также по ликвидации последствий нанесенного ущерба.</w:t>
      </w:r>
    </w:p>
    <w:p>
      <w:pPr>
        <w:pStyle w:val="Normal"/>
        <w:numPr>
          <w:ilvl w:val="2"/>
          <w:numId w:val="3"/>
        </w:numPr>
        <w:ind w:left="0" w:right="0" w:firstLine="709"/>
        <w:rPr/>
      </w:pPr>
      <w:r>
        <w:rPr/>
        <w:t xml:space="preserve">Технология и качество оказываемых услуг должны удовлетворять требованиям экологических, санитарно-гигиенических норм и правил, действующих на территории Российской Федерации. </w:t>
      </w:r>
    </w:p>
    <w:p>
      <w:pPr>
        <w:pStyle w:val="Normal"/>
        <w:numPr>
          <w:ilvl w:val="2"/>
          <w:numId w:val="3"/>
        </w:numPr>
        <w:ind w:left="0" w:right="0" w:firstLine="709"/>
        <w:rPr/>
      </w:pPr>
      <w:r>
        <w:rPr/>
        <w:t>Исполнитель обязан принять все необходимые меры по обеспечению безопасности при подготовке к оказанию услуг, при оказании услуг, после оказания услуг. Всю ответственность за обеспечение безопасности третьих лиц (ограждение опасной территории, сопровождение и т.п.) несет Исполнитель. Исполнитель несет ответственность за сохранность находящегося в зоне оказания услуг имущества Заказчика и третьих лиц. Ущерб, нанесенный Исполнителем Заказчику и третьим лицам, возмещается из средств Исполнителя.</w:t>
      </w:r>
    </w:p>
    <w:p>
      <w:pPr>
        <w:pStyle w:val="Normal"/>
        <w:numPr>
          <w:ilvl w:val="2"/>
          <w:numId w:val="3"/>
        </w:numPr>
        <w:ind w:left="0" w:right="0" w:firstLine="709"/>
        <w:rPr/>
      </w:pPr>
      <w:r>
        <w:rPr/>
        <w:t>Оказание услуг осуществляется в рамках исполнения требований Федерального закона от 10.01.2002 № 7-ФЗ «Об охране окружающей среды», Федерального закона от 30.03.1999 №52-ФЗ «О санитарно-эпидемиологическом благополучии населения», Федерального закона от 22.07.2008 № 123-ФЗ «Технический регламент о требованиях пожарной безопасности».</w:t>
      </w:r>
    </w:p>
    <w:p>
      <w:pPr>
        <w:pStyle w:val="Normal"/>
        <w:numPr>
          <w:ilvl w:val="2"/>
          <w:numId w:val="3"/>
        </w:numPr>
        <w:ind w:left="0" w:right="0" w:firstLine="709"/>
        <w:rPr/>
      </w:pPr>
      <w:r>
        <w:rPr/>
        <w:t>При несоответствии качества оказанных услуг требованиям Заказчика, Исполнитель устраняет все нарушения своими силами и за свой счет, а также возмещает все убытки, причиненные Заказчику в результате этих нарушений.</w:t>
      </w:r>
      <w:bookmarkStart w:id="12" w:name="_Toc51339693"/>
    </w:p>
    <w:p>
      <w:pPr>
        <w:pStyle w:val="Normal"/>
        <w:numPr>
          <w:ilvl w:val="2"/>
          <w:numId w:val="3"/>
        </w:numPr>
        <w:ind w:left="0" w:right="0" w:firstLine="709"/>
        <w:rPr/>
      </w:pPr>
      <w:r>
        <w:rPr/>
        <w:t xml:space="preserve">Перед посадкой саженцев, сеянцев Исполнитель проверяет саженцы, сеянцы на наличие вредителей, насекомых и повреждений. При нахождении зараженных вредителями, паразитами саженцев, Исполнитель подвергает обработке, обеззараживанию. Поврежденные, зараженные саженцы, сеянцы не могут применяться в посадке. </w:t>
      </w:r>
    </w:p>
    <w:p>
      <w:pPr>
        <w:pStyle w:val="Normal"/>
        <w:numPr>
          <w:ilvl w:val="2"/>
          <w:numId w:val="3"/>
        </w:numPr>
        <w:ind w:left="0" w:right="0" w:firstLine="709"/>
        <w:rPr/>
      </w:pPr>
      <w:r>
        <w:rPr/>
        <w:t>Семена, зараженные паразитными грибами, должны быть протравлены Исполнителем фунгицидами перед посевом или закладкой. Все предварительные работы от поражения саженцев (в случае их нахождения паразитных грибов) производятся за счет Исполнителя.</w:t>
      </w:r>
    </w:p>
    <w:p>
      <w:pPr>
        <w:pStyle w:val="Normal"/>
        <w:numPr>
          <w:ilvl w:val="2"/>
          <w:numId w:val="3"/>
        </w:numPr>
        <w:ind w:left="0" w:right="0" w:firstLine="709"/>
        <w:rPr/>
      </w:pPr>
      <w:r>
        <w:rPr/>
        <w:t>Сеянцы и саженцы, выкопанные (с закрытой корневой системой) и предназначенные к посадке должны иметь: не подсушенную, здоровую, хорошо развитую корневую систему длиной не менее 10 см и не более 25 см; ровные стволики, полностью одревесневший осевой побег со сформировавшейся верхушечной почкой., растения не должны иметь многовершинности. механических повреждений, заражений вредными организмами.</w:t>
      </w:r>
    </w:p>
    <w:p>
      <w:pPr>
        <w:pStyle w:val="Normal"/>
        <w:numPr>
          <w:ilvl w:val="2"/>
          <w:numId w:val="3"/>
        </w:numPr>
        <w:ind w:left="0" w:right="0" w:firstLine="709"/>
        <w:rPr/>
      </w:pPr>
      <w:r>
        <w:rPr/>
        <w:t xml:space="preserve">Семена, зараженные паразитными грибами, должны быть протравлены Исполнителем фунгицидами перед посевом или закладкой. Расходы по обеззараживанию и протравке несет Исполнитель. </w:t>
      </w:r>
    </w:p>
    <w:p>
      <w:pPr>
        <w:pStyle w:val="Normal"/>
        <w:numPr>
          <w:ilvl w:val="2"/>
          <w:numId w:val="3"/>
        </w:numPr>
        <w:ind w:left="0" w:right="0" w:firstLine="709"/>
        <w:rPr/>
      </w:pPr>
      <w:r>
        <w:rPr/>
        <w:t>Хранение посадочного материала на лесокультурных площадях осуществляется во влажных траншеях с соблюдением требований агротехники. Саженцы укладываются по направлению ветра, в тенистых местах. При наличии подготовленных «холодильников» посадочный материал закладывается на хранение в них.</w:t>
      </w:r>
    </w:p>
    <w:p>
      <w:pPr>
        <w:pStyle w:val="Normal"/>
        <w:numPr>
          <w:ilvl w:val="2"/>
          <w:numId w:val="3"/>
        </w:numPr>
        <w:ind w:left="0" w:right="0" w:firstLine="709"/>
        <w:rPr/>
      </w:pPr>
      <w:r>
        <w:rPr/>
        <w:t>Посадка сеянцев осуществляется в дно борозды.</w:t>
      </w:r>
    </w:p>
    <w:p>
      <w:pPr>
        <w:pStyle w:val="Normal"/>
        <w:numPr>
          <w:ilvl w:val="2"/>
          <w:numId w:val="3"/>
        </w:numPr>
        <w:ind w:left="0" w:right="0" w:firstLine="709"/>
        <w:rPr/>
      </w:pPr>
      <w:r>
        <w:rPr/>
        <w:t>Посадочный материал отбирается с живой почкой, здоровой мочковатой корневой системой.</w:t>
      </w:r>
    </w:p>
    <w:p>
      <w:pPr>
        <w:pStyle w:val="Normal"/>
        <w:numPr>
          <w:ilvl w:val="2"/>
          <w:numId w:val="3"/>
        </w:numPr>
        <w:ind w:left="0" w:right="0" w:firstLine="709"/>
        <w:rPr/>
      </w:pPr>
      <w:r>
        <w:rPr/>
        <w:t>При оказании услуг Исполнитель обязан соблюдать общие требования к технологии и качеству оказания услуг по искусственному лесовосстановлению, требования технического задания и действующих законов, нормативно-правовых актов, отраслевых стандартов, требования техники безопасности, пожарной безопасности и лесного законодательства, проектов лесовосстановления и и другой методической документации, в т.ч.:</w:t>
      </w:r>
    </w:p>
    <w:p>
      <w:pPr>
        <w:pStyle w:val="Normal"/>
        <w:widowControl/>
        <w:numPr>
          <w:ilvl w:val="2"/>
          <w:numId w:val="4"/>
        </w:numPr>
        <w:snapToGrid w:val="true"/>
        <w:ind w:left="0" w:right="0" w:firstLine="709"/>
        <w:rPr/>
      </w:pPr>
      <w:hyperlink r:id="rId2">
        <w:r>
          <w:rPr/>
          <w:t>Правила</w:t>
        </w:r>
      </w:hyperlink>
      <w:r>
        <w:rPr/>
        <w:t>м санитарной безопасности в лесах, утверждённым постановлением Правительства Российской Федерации от 9 декабря 2020 г. № 2047;</w:t>
      </w:r>
    </w:p>
    <w:p>
      <w:pPr>
        <w:pStyle w:val="Normal"/>
        <w:widowControl/>
        <w:numPr>
          <w:ilvl w:val="2"/>
          <w:numId w:val="4"/>
        </w:numPr>
        <w:snapToGrid w:val="true"/>
        <w:ind w:left="0" w:right="0" w:firstLine="709"/>
        <w:rPr/>
      </w:pPr>
      <w:r>
        <w:rPr/>
        <w:t>Правилам пожарной безопасности в лесах, утвержденным постановлением Правительства Российской Федерации от 07.10.2020 № 1614;</w:t>
      </w:r>
    </w:p>
    <w:p>
      <w:pPr>
        <w:pStyle w:val="Normal"/>
        <w:widowControl/>
        <w:numPr>
          <w:ilvl w:val="2"/>
          <w:numId w:val="4"/>
        </w:numPr>
        <w:snapToGrid w:val="true"/>
        <w:ind w:left="0" w:right="0" w:firstLine="709"/>
        <w:rPr/>
      </w:pPr>
      <w:r>
        <w:rPr/>
        <w:t xml:space="preserve">Приказу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 </w:t>
      </w:r>
    </w:p>
    <w:p>
      <w:pPr>
        <w:pStyle w:val="Normal"/>
        <w:widowControl/>
        <w:numPr>
          <w:ilvl w:val="2"/>
          <w:numId w:val="4"/>
        </w:numPr>
        <w:snapToGrid w:val="true"/>
        <w:ind w:left="0" w:right="0" w:firstLine="709"/>
        <w:rPr/>
      </w:pPr>
      <w:r>
        <w:rPr/>
        <w:t xml:space="preserve">   </w:t>
      </w:r>
      <w:r>
        <w:rPr/>
        <w:t>ОСТу 56-99-93 «Культуры лесные. Оценка качества»</w:t>
      </w:r>
    </w:p>
    <w:p>
      <w:pPr>
        <w:pStyle w:val="Normal"/>
        <w:widowControl/>
        <w:numPr>
          <w:ilvl w:val="2"/>
          <w:numId w:val="4"/>
        </w:numPr>
        <w:snapToGrid w:val="true"/>
        <w:ind w:left="0" w:right="0" w:firstLine="709"/>
        <w:rPr/>
      </w:pPr>
      <w:r>
        <w:rPr/>
        <w:t>Иная нормативно- техническая документация, предусмотренная для соответствующих услуг действующим законодательством Российской Федерации.</w:t>
      </w:r>
    </w:p>
    <w:p>
      <w:pPr>
        <w:pStyle w:val="Normal"/>
        <w:ind w:left="1134" w:hanging="0"/>
        <w:rPr/>
      </w:pPr>
      <w:r>
        <w:rPr/>
      </w:r>
    </w:p>
    <w:p>
      <w:pPr>
        <w:pStyle w:val="Normal"/>
        <w:numPr>
          <w:ilvl w:val="0"/>
          <w:numId w:val="3"/>
        </w:numPr>
        <w:jc w:val="center"/>
        <w:rPr>
          <w:b/>
          <w:bCs/>
        </w:rPr>
      </w:pPr>
      <w:bookmarkStart w:id="13" w:name="_Toc133419418"/>
      <w:r>
        <w:rPr>
          <w:b/>
          <w:bCs/>
        </w:rPr>
        <w:t>Требования к продукции</w:t>
      </w:r>
      <w:bookmarkEnd w:id="12"/>
      <w:bookmarkEnd w:id="13"/>
    </w:p>
    <w:p>
      <w:pPr>
        <w:pStyle w:val="Normal"/>
        <w:numPr>
          <w:ilvl w:val="1"/>
          <w:numId w:val="3"/>
        </w:numPr>
        <w:spacing w:lineRule="auto" w:line="276"/>
        <w:jc w:val="left"/>
        <w:rPr>
          <w:b/>
        </w:rPr>
      </w:pPr>
      <w:bookmarkStart w:id="14" w:name="_Toc133419419"/>
      <w:r>
        <w:rPr>
          <w:rFonts w:cs="Times New Roman"/>
          <w:b/>
          <w:bCs/>
          <w:iCs/>
          <w:color w:val="auto"/>
          <w:szCs w:val="24"/>
          <w:lang w:eastAsia="ru-RU" w:bidi="ar-SA"/>
        </w:rPr>
        <w:t>Требования</w:t>
      </w:r>
      <w:r>
        <w:rPr>
          <w:b/>
        </w:rPr>
        <w:t xml:space="preserve"> к объемам и </w:t>
      </w:r>
      <w:r>
        <w:rPr>
          <w:b/>
          <w:bCs/>
        </w:rPr>
        <w:t>срокам</w:t>
      </w:r>
      <w:r>
        <w:rPr>
          <w:b/>
        </w:rPr>
        <w:t xml:space="preserve"> оказания услуг</w:t>
      </w:r>
      <w:bookmarkEnd w:id="14"/>
    </w:p>
    <w:p>
      <w:pPr>
        <w:pStyle w:val="Normal"/>
        <w:numPr>
          <w:ilvl w:val="2"/>
          <w:numId w:val="3"/>
        </w:numPr>
        <w:spacing w:lineRule="auto" w:line="276"/>
        <w:ind w:left="851" w:firstLine="142"/>
        <w:jc w:val="left"/>
        <w:rPr>
          <w:b/>
        </w:rPr>
      </w:pPr>
      <w:bookmarkStart w:id="15" w:name="_Toc133419420"/>
      <w:r>
        <w:rPr>
          <w:b/>
        </w:rPr>
        <w:t xml:space="preserve">Требования к </w:t>
      </w:r>
      <w:r>
        <w:rPr>
          <w:rFonts w:cs="Times New Roman"/>
          <w:b/>
          <w:bCs/>
          <w:iCs/>
          <w:color w:val="auto"/>
          <w:szCs w:val="24"/>
          <w:lang w:eastAsia="ru-RU" w:bidi="ar-SA"/>
        </w:rPr>
        <w:t>перечню</w:t>
      </w:r>
      <w:r>
        <w:rPr>
          <w:b/>
        </w:rPr>
        <w:t xml:space="preserve"> и объему услуг</w:t>
      </w:r>
      <w:bookmarkEnd w:id="15"/>
    </w:p>
    <w:p>
      <w:pPr>
        <w:pStyle w:val="Normal"/>
        <w:spacing w:lineRule="auto" w:line="276"/>
        <w:rPr>
          <w:b/>
        </w:rPr>
      </w:pPr>
      <w:r>
        <w:rPr>
          <w:b/>
          <w:lang w:val="x-none"/>
        </w:rPr>
        <w:t xml:space="preserve">Таблица </w:t>
      </w:r>
      <w:r>
        <w:rPr>
          <w:b/>
        </w:rPr>
        <w:t>2.</w:t>
      </w:r>
      <w:r>
        <w:rPr>
          <w:b/>
          <w:lang w:val="x-none"/>
        </w:rPr>
        <w:t xml:space="preserve"> </w:t>
      </w:r>
      <w:r>
        <w:rPr>
          <w:b/>
        </w:rPr>
        <w:t>Перечень и объем оказываемых Услуг</w:t>
      </w:r>
    </w:p>
    <w:tbl>
      <w:tblPr>
        <w:tblW w:w="10235" w:type="dxa"/>
        <w:jc w:val="left"/>
        <w:tblInd w:w="221" w:type="dxa"/>
        <w:tblLayout w:type="fixed"/>
        <w:tblCellMar>
          <w:top w:w="0" w:type="dxa"/>
          <w:left w:w="108" w:type="dxa"/>
          <w:bottom w:w="0" w:type="dxa"/>
          <w:right w:w="108" w:type="dxa"/>
        </w:tblCellMar>
        <w:tblLook w:noVBand="1" w:val="04a0" w:noHBand="0" w:lastColumn="0" w:firstColumn="1" w:lastRow="0" w:firstRow="1"/>
      </w:tblPr>
      <w:tblGrid>
        <w:gridCol w:w="881"/>
        <w:gridCol w:w="2803"/>
        <w:gridCol w:w="1641"/>
        <w:gridCol w:w="1819"/>
        <w:gridCol w:w="3091"/>
      </w:tblGrid>
      <w:tr>
        <w:trPr>
          <w:trHeight w:val="167" w:hRule="atLeast"/>
        </w:trPr>
        <w:tc>
          <w:tcPr>
            <w:tcW w:w="8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bCs/>
                <w:sz w:val="20"/>
                <w:szCs w:val="20"/>
              </w:rPr>
              <w:t xml:space="preserve">№ </w:t>
            </w:r>
            <w:r>
              <w:rPr>
                <w:b/>
                <w:bCs/>
                <w:sz w:val="20"/>
                <w:szCs w:val="20"/>
              </w:rPr>
              <w:t>п/п</w:t>
            </w:r>
          </w:p>
        </w:tc>
        <w:tc>
          <w:tcPr>
            <w:tcW w:w="28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bCs/>
                <w:sz w:val="20"/>
                <w:szCs w:val="20"/>
              </w:rPr>
              <w:t>Наименование услуг / этапа услуг</w:t>
            </w:r>
          </w:p>
        </w:tc>
        <w:tc>
          <w:tcPr>
            <w:tcW w:w="16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bCs/>
                <w:sz w:val="20"/>
                <w:szCs w:val="20"/>
              </w:rPr>
              <w:t>Единица измерения</w:t>
            </w:r>
          </w:p>
        </w:tc>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bCs/>
                <w:sz w:val="20"/>
                <w:szCs w:val="20"/>
              </w:rPr>
              <w:t>Количество</w:t>
            </w:r>
          </w:p>
        </w:tc>
        <w:tc>
          <w:tcPr>
            <w:tcW w:w="30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b/>
                <w:bCs/>
                <w:sz w:val="20"/>
                <w:szCs w:val="20"/>
              </w:rPr>
              <w:t>Примечание</w:t>
            </w:r>
          </w:p>
        </w:tc>
      </w:tr>
      <w:tr>
        <w:trPr>
          <w:trHeight w:val="83" w:hRule="atLeast"/>
        </w:trPr>
        <w:tc>
          <w:tcPr>
            <w:tcW w:w="8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1</w:t>
            </w:r>
          </w:p>
        </w:tc>
        <w:tc>
          <w:tcPr>
            <w:tcW w:w="28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2</w:t>
            </w:r>
          </w:p>
        </w:tc>
        <w:tc>
          <w:tcPr>
            <w:tcW w:w="16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3</w:t>
            </w:r>
          </w:p>
        </w:tc>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b/>
                <w:sz w:val="20"/>
                <w:szCs w:val="20"/>
              </w:rPr>
              <w:t>4</w:t>
            </w:r>
          </w:p>
        </w:tc>
        <w:tc>
          <w:tcPr>
            <w:tcW w:w="30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sz w:val="20"/>
                <w:szCs w:val="20"/>
              </w:rPr>
              <w:t>5</w:t>
            </w:r>
          </w:p>
        </w:tc>
      </w:tr>
      <w:tr>
        <w:trPr>
          <w:trHeight w:val="69" w:hRule="atLeast"/>
        </w:trPr>
        <w:tc>
          <w:tcPr>
            <w:tcW w:w="8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1.</w:t>
            </w:r>
          </w:p>
        </w:tc>
        <w:tc>
          <w:tcPr>
            <w:tcW w:w="28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0" w:leader="none"/>
              </w:tabs>
              <w:ind w:left="0" w:right="0" w:hanging="0"/>
              <w:jc w:val="center"/>
              <w:rPr/>
            </w:pPr>
            <w:r>
              <w:rPr>
                <w:sz w:val="20"/>
                <w:szCs w:val="20"/>
              </w:rPr>
              <w:t>Посадка саженцев сплошная: хвойных пород</w:t>
            </w:r>
          </w:p>
        </w:tc>
        <w:tc>
          <w:tcPr>
            <w:tcW w:w="16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Усл. ед.</w:t>
            </w:r>
          </w:p>
        </w:tc>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1</w:t>
            </w:r>
          </w:p>
        </w:tc>
        <w:tc>
          <w:tcPr>
            <w:tcW w:w="309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ind w:hanging="0"/>
              <w:jc w:val="center"/>
              <w:rPr/>
            </w:pPr>
            <w:r>
              <w:rPr>
                <w:iCs/>
                <w:sz w:val="20"/>
                <w:szCs w:val="20"/>
              </w:rPr>
              <w:t>В соответствии с П</w:t>
            </w:r>
            <w:r>
              <w:rPr>
                <w:sz w:val="20"/>
                <w:szCs w:val="20"/>
              </w:rPr>
              <w:t>роектом лесовосстановления на лесном участке № 3-2025 / 2025 год</w:t>
            </w:r>
          </w:p>
          <w:p>
            <w:pPr>
              <w:pStyle w:val="Normal"/>
              <w:widowControl w:val="false"/>
              <w:ind w:hanging="0"/>
              <w:jc w:val="center"/>
              <w:rPr/>
            </w:pPr>
            <w:r>
              <w:rPr>
                <w:iCs/>
                <w:sz w:val="20"/>
                <w:szCs w:val="20"/>
              </w:rPr>
              <w:t>(Приложение № 1 к настоящим Техническим требованиям)</w:t>
            </w:r>
          </w:p>
        </w:tc>
      </w:tr>
      <w:tr>
        <w:trPr>
          <w:trHeight w:val="69" w:hRule="atLeast"/>
        </w:trPr>
        <w:tc>
          <w:tcPr>
            <w:tcW w:w="8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2.</w:t>
            </w:r>
          </w:p>
        </w:tc>
        <w:tc>
          <w:tcPr>
            <w:tcW w:w="28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Уход за саженцами с закрытой корневой системой: кустарников в групповых посадках 2026 год</w:t>
            </w:r>
          </w:p>
        </w:tc>
        <w:tc>
          <w:tcPr>
            <w:tcW w:w="16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Усл. ед.</w:t>
            </w:r>
          </w:p>
        </w:tc>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1</w:t>
            </w:r>
          </w:p>
        </w:tc>
        <w:tc>
          <w:tcPr>
            <w:tcW w:w="309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ind w:hanging="0"/>
              <w:jc w:val="center"/>
              <w:rPr>
                <w:iCs/>
                <w:sz w:val="20"/>
                <w:szCs w:val="20"/>
              </w:rPr>
            </w:pPr>
            <w:r>
              <w:rPr/>
            </w:r>
          </w:p>
        </w:tc>
      </w:tr>
      <w:tr>
        <w:trPr>
          <w:trHeight w:val="69" w:hRule="atLeast"/>
        </w:trPr>
        <w:tc>
          <w:tcPr>
            <w:tcW w:w="8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3.</w:t>
            </w:r>
          </w:p>
        </w:tc>
        <w:tc>
          <w:tcPr>
            <w:tcW w:w="28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Уход за саженцами с закрытой корневой системой: кустарников в групповых посадках 2027 год</w:t>
            </w:r>
          </w:p>
        </w:tc>
        <w:tc>
          <w:tcPr>
            <w:tcW w:w="16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Усл. ед.</w:t>
            </w:r>
          </w:p>
        </w:tc>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1</w:t>
            </w:r>
          </w:p>
        </w:tc>
        <w:tc>
          <w:tcPr>
            <w:tcW w:w="309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ind w:hanging="0"/>
              <w:jc w:val="center"/>
              <w:rPr>
                <w:iCs/>
                <w:sz w:val="20"/>
                <w:szCs w:val="20"/>
              </w:rPr>
            </w:pPr>
            <w:r>
              <w:rPr/>
            </w:r>
          </w:p>
        </w:tc>
      </w:tr>
      <w:tr>
        <w:trPr>
          <w:trHeight w:val="69" w:hRule="atLeast"/>
        </w:trPr>
        <w:tc>
          <w:tcPr>
            <w:tcW w:w="8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4.</w:t>
            </w:r>
          </w:p>
        </w:tc>
        <w:tc>
          <w:tcPr>
            <w:tcW w:w="28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Уход за саженцами с закрытой корневой системой: кустарников в групповых посадках 2028 г.</w:t>
            </w:r>
          </w:p>
        </w:tc>
        <w:tc>
          <w:tcPr>
            <w:tcW w:w="16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Усл. ед.</w:t>
            </w:r>
          </w:p>
        </w:tc>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pPr>
            <w:r>
              <w:rPr>
                <w:sz w:val="20"/>
                <w:szCs w:val="20"/>
              </w:rPr>
              <w:t>1</w:t>
            </w:r>
          </w:p>
        </w:tc>
        <w:tc>
          <w:tcPr>
            <w:tcW w:w="309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ind w:hanging="0"/>
              <w:jc w:val="center"/>
              <w:rPr>
                <w:iCs/>
                <w:sz w:val="20"/>
                <w:szCs w:val="20"/>
              </w:rPr>
            </w:pPr>
            <w:r>
              <w:rPr/>
            </w:r>
          </w:p>
        </w:tc>
      </w:tr>
    </w:tbl>
    <w:p>
      <w:pPr>
        <w:pStyle w:val="Normal"/>
        <w:rPr>
          <w:b/>
          <w:i/>
          <w:i/>
        </w:rPr>
      </w:pPr>
      <w:r>
        <w:rPr>
          <w:b/>
          <w:i/>
        </w:rPr>
      </w:r>
    </w:p>
    <w:p>
      <w:pPr>
        <w:pStyle w:val="Normal"/>
        <w:ind w:left="142" w:hanging="0"/>
        <w:rPr/>
      </w:pPr>
      <w:r>
        <w:rPr/>
      </w:r>
    </w:p>
    <w:p>
      <w:pPr>
        <w:pStyle w:val="Normal"/>
        <w:rPr/>
      </w:pPr>
      <w:r>
        <w:rPr/>
      </w:r>
    </w:p>
    <w:p>
      <w:pPr>
        <w:pStyle w:val="Normal"/>
        <w:numPr>
          <w:ilvl w:val="2"/>
          <w:numId w:val="3"/>
        </w:numPr>
        <w:spacing w:lineRule="auto" w:line="276"/>
        <w:ind w:left="851" w:firstLine="142"/>
        <w:jc w:val="left"/>
        <w:rPr>
          <w:b/>
        </w:rPr>
      </w:pPr>
      <w:bookmarkStart w:id="16" w:name="_Toc133419422"/>
      <w:bookmarkStart w:id="17" w:name="_Toc51339696"/>
      <w:r>
        <w:rPr>
          <w:b/>
        </w:rPr>
        <w:t xml:space="preserve">Требования </w:t>
      </w:r>
      <w:bookmarkEnd w:id="17"/>
      <w:r>
        <w:rPr>
          <w:b/>
        </w:rPr>
        <w:t>к срокам оказания услуг</w:t>
      </w:r>
      <w:bookmarkEnd w:id="16"/>
    </w:p>
    <w:p>
      <w:pPr>
        <w:pStyle w:val="Normal"/>
        <w:spacing w:lineRule="auto" w:line="276"/>
        <w:rPr>
          <w:b/>
        </w:rPr>
      </w:pPr>
      <w:bookmarkStart w:id="18" w:name="_Toc133419423"/>
      <w:bookmarkStart w:id="19" w:name="_Toc50125127"/>
      <w:bookmarkStart w:id="20" w:name="_Toc51339697"/>
      <w:bookmarkStart w:id="21" w:name="_Toc50125126_Копия_1"/>
      <w:bookmarkEnd w:id="21"/>
      <w:r>
        <w:rPr>
          <w:b/>
        </w:rPr>
        <w:t xml:space="preserve">Таблица 3. </w:t>
      </w:r>
      <w:bookmarkStart w:id="22" w:name="_Hlk50465284"/>
      <w:r>
        <w:rPr>
          <w:b/>
        </w:rPr>
        <w:t xml:space="preserve">Требования к срокам </w:t>
      </w:r>
      <w:bookmarkEnd w:id="19"/>
      <w:bookmarkEnd w:id="20"/>
      <w:bookmarkEnd w:id="22"/>
      <w:r>
        <w:rPr>
          <w:b/>
        </w:rPr>
        <w:t>оказания услуг</w:t>
      </w:r>
      <w:bookmarkEnd w:id="18"/>
    </w:p>
    <w:tbl>
      <w:tblPr>
        <w:tblW w:w="9778" w:type="dxa"/>
        <w:jc w:val="left"/>
        <w:tblInd w:w="113" w:type="dxa"/>
        <w:tblLayout w:type="fixed"/>
        <w:tblCellMar>
          <w:top w:w="0" w:type="dxa"/>
          <w:left w:w="108" w:type="dxa"/>
          <w:bottom w:w="0" w:type="dxa"/>
          <w:right w:w="108" w:type="dxa"/>
        </w:tblCellMar>
        <w:tblLook w:noVBand="1" w:val="04a0" w:noHBand="0" w:lastColumn="0" w:firstColumn="1" w:lastRow="0" w:firstRow="1"/>
      </w:tblPr>
      <w:tblGrid>
        <w:gridCol w:w="834"/>
        <w:gridCol w:w="3929"/>
        <w:gridCol w:w="2325"/>
        <w:gridCol w:w="2690"/>
      </w:tblGrid>
      <w:tr>
        <w:trPr/>
        <w:tc>
          <w:tcPr>
            <w:tcW w:w="8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b/>
                <w:bCs/>
                <w:sz w:val="20"/>
                <w:szCs w:val="20"/>
              </w:rPr>
              <w:t xml:space="preserve">№ </w:t>
            </w:r>
            <w:r>
              <w:rPr>
                <w:b/>
                <w:bCs/>
                <w:sz w:val="20"/>
                <w:szCs w:val="20"/>
              </w:rPr>
              <w:t>п/п</w:t>
            </w:r>
          </w:p>
        </w:tc>
        <w:tc>
          <w:tcPr>
            <w:tcW w:w="39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b/>
                <w:bCs/>
                <w:sz w:val="20"/>
                <w:szCs w:val="20"/>
              </w:rPr>
              <w:t>Наименование этапа Услуг</w:t>
            </w:r>
          </w:p>
        </w:tc>
        <w:tc>
          <w:tcPr>
            <w:tcW w:w="23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b/>
                <w:bCs/>
                <w:sz w:val="20"/>
                <w:szCs w:val="20"/>
              </w:rPr>
              <w:t>Требования к началу срока оказания этапа Услуг</w:t>
            </w:r>
          </w:p>
        </w:tc>
        <w:tc>
          <w:tcPr>
            <w:tcW w:w="26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b/>
                <w:bCs/>
                <w:sz w:val="20"/>
                <w:szCs w:val="20"/>
              </w:rPr>
              <w:t>Требования к окончанию срока оказания этапа Услуг</w:t>
            </w:r>
          </w:p>
        </w:tc>
      </w:tr>
      <w:tr>
        <w:trPr/>
        <w:tc>
          <w:tcPr>
            <w:tcW w:w="8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b/>
                <w:sz w:val="20"/>
                <w:szCs w:val="20"/>
              </w:rPr>
              <w:t>1</w:t>
            </w:r>
          </w:p>
        </w:tc>
        <w:tc>
          <w:tcPr>
            <w:tcW w:w="39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b/>
                <w:sz w:val="20"/>
                <w:szCs w:val="20"/>
              </w:rPr>
              <w:t>2</w:t>
            </w:r>
          </w:p>
        </w:tc>
        <w:tc>
          <w:tcPr>
            <w:tcW w:w="23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b/>
                <w:sz w:val="20"/>
                <w:szCs w:val="20"/>
              </w:rPr>
              <w:t>3</w:t>
            </w:r>
          </w:p>
        </w:tc>
        <w:tc>
          <w:tcPr>
            <w:tcW w:w="26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b/>
                <w:sz w:val="20"/>
                <w:szCs w:val="20"/>
              </w:rPr>
              <w:t>4</w:t>
            </w:r>
          </w:p>
        </w:tc>
      </w:tr>
      <w:tr>
        <w:trPr/>
        <w:tc>
          <w:tcPr>
            <w:tcW w:w="8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rFonts w:cs="Times New Roman"/>
                <w:sz w:val="20"/>
                <w:szCs w:val="20"/>
              </w:rPr>
              <w:t>1.</w:t>
            </w:r>
          </w:p>
        </w:tc>
        <w:tc>
          <w:tcPr>
            <w:tcW w:w="39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rFonts w:cs="Times New Roman"/>
                <w:sz w:val="20"/>
                <w:szCs w:val="20"/>
              </w:rPr>
              <w:t>Посадка саженцев сплошная: хвойных пород</w:t>
            </w:r>
          </w:p>
        </w:tc>
        <w:tc>
          <w:tcPr>
            <w:tcW w:w="23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0" w:leader="none"/>
              </w:tabs>
              <w:ind w:left="0" w:right="0" w:hanging="0"/>
              <w:jc w:val="center"/>
              <w:rPr>
                <w:sz w:val="20"/>
                <w:szCs w:val="20"/>
              </w:rPr>
            </w:pPr>
            <w:bookmarkStart w:id="23" w:name="_Toc46743510"/>
            <w:r>
              <w:rPr>
                <w:rFonts w:cs="Times New Roman"/>
                <w:sz w:val="20"/>
                <w:szCs w:val="20"/>
              </w:rPr>
              <w:t>С даты подписания договора</w:t>
            </w:r>
            <w:bookmarkEnd w:id="23"/>
          </w:p>
        </w:tc>
        <w:tc>
          <w:tcPr>
            <w:tcW w:w="26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rFonts w:cs="Times New Roman"/>
                <w:sz w:val="20"/>
                <w:szCs w:val="20"/>
              </w:rPr>
              <w:t>В течение 10 (десяти) календарных дней</w:t>
            </w:r>
          </w:p>
        </w:tc>
      </w:tr>
      <w:tr>
        <w:trPr/>
        <w:tc>
          <w:tcPr>
            <w:tcW w:w="8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rFonts w:cs="Times New Roman"/>
                <w:sz w:val="20"/>
                <w:szCs w:val="20"/>
              </w:rPr>
              <w:t>2.</w:t>
            </w:r>
          </w:p>
        </w:tc>
        <w:tc>
          <w:tcPr>
            <w:tcW w:w="39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rFonts w:cs="Times New Roman"/>
                <w:sz w:val="20"/>
                <w:szCs w:val="20"/>
              </w:rPr>
              <w:t>Уход за саженцами с закрытой корневой системой: кустарников в групповых посадках 2026 год</w:t>
            </w:r>
          </w:p>
        </w:tc>
        <w:tc>
          <w:tcPr>
            <w:tcW w:w="23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0" w:leader="none"/>
              </w:tabs>
              <w:ind w:left="0" w:right="0" w:hanging="0"/>
              <w:jc w:val="center"/>
              <w:rPr>
                <w:sz w:val="20"/>
                <w:szCs w:val="20"/>
              </w:rPr>
            </w:pPr>
            <w:r>
              <w:rPr>
                <w:rFonts w:cs="Times New Roman"/>
                <w:sz w:val="20"/>
                <w:szCs w:val="20"/>
              </w:rPr>
              <w:t>01.09.2026</w:t>
            </w:r>
          </w:p>
        </w:tc>
        <w:tc>
          <w:tcPr>
            <w:tcW w:w="26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rFonts w:cs="Times New Roman"/>
                <w:sz w:val="20"/>
                <w:szCs w:val="20"/>
              </w:rPr>
              <w:t>30.10.2026</w:t>
            </w:r>
          </w:p>
        </w:tc>
      </w:tr>
      <w:tr>
        <w:trPr/>
        <w:tc>
          <w:tcPr>
            <w:tcW w:w="8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rFonts w:cs="Times New Roman"/>
                <w:sz w:val="20"/>
                <w:szCs w:val="20"/>
              </w:rPr>
              <w:t>3.</w:t>
            </w:r>
          </w:p>
        </w:tc>
        <w:tc>
          <w:tcPr>
            <w:tcW w:w="39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rFonts w:cs="Times New Roman"/>
                <w:sz w:val="20"/>
                <w:szCs w:val="20"/>
              </w:rPr>
              <w:t>Уход за саженцами с закрытой корневой системой: кустарников в групповых посадках 2027 год</w:t>
            </w:r>
          </w:p>
        </w:tc>
        <w:tc>
          <w:tcPr>
            <w:tcW w:w="23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0" w:leader="none"/>
              </w:tabs>
              <w:ind w:left="0" w:right="0" w:hanging="0"/>
              <w:jc w:val="center"/>
              <w:rPr>
                <w:sz w:val="20"/>
                <w:szCs w:val="20"/>
              </w:rPr>
            </w:pPr>
            <w:r>
              <w:rPr>
                <w:rFonts w:cs="Times New Roman"/>
                <w:sz w:val="20"/>
                <w:szCs w:val="20"/>
              </w:rPr>
              <w:t>01.03.2027</w:t>
            </w:r>
          </w:p>
        </w:tc>
        <w:tc>
          <w:tcPr>
            <w:tcW w:w="26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rFonts w:cs="Times New Roman"/>
                <w:sz w:val="20"/>
                <w:szCs w:val="20"/>
              </w:rPr>
              <w:t>30.10.2027</w:t>
            </w:r>
          </w:p>
        </w:tc>
      </w:tr>
      <w:tr>
        <w:trPr/>
        <w:tc>
          <w:tcPr>
            <w:tcW w:w="8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rFonts w:cs="Times New Roman"/>
                <w:sz w:val="20"/>
                <w:szCs w:val="20"/>
              </w:rPr>
              <w:t>4.</w:t>
            </w:r>
          </w:p>
        </w:tc>
        <w:tc>
          <w:tcPr>
            <w:tcW w:w="39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rFonts w:cs="Times New Roman"/>
                <w:sz w:val="20"/>
                <w:szCs w:val="20"/>
              </w:rPr>
              <w:t>Уход за саженцами с закрытой корневой системой: кустарников в групповых посадках 2028 г.</w:t>
            </w:r>
          </w:p>
        </w:tc>
        <w:tc>
          <w:tcPr>
            <w:tcW w:w="23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0" w:leader="none"/>
              </w:tabs>
              <w:ind w:left="0" w:right="0" w:hanging="0"/>
              <w:jc w:val="center"/>
              <w:rPr>
                <w:sz w:val="20"/>
                <w:szCs w:val="20"/>
              </w:rPr>
            </w:pPr>
            <w:r>
              <w:rPr>
                <w:rFonts w:cs="Times New Roman"/>
                <w:sz w:val="20"/>
                <w:szCs w:val="20"/>
              </w:rPr>
              <w:t>01.03.2028</w:t>
            </w:r>
          </w:p>
        </w:tc>
        <w:tc>
          <w:tcPr>
            <w:tcW w:w="26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0" w:hanging="0"/>
              <w:jc w:val="center"/>
              <w:rPr>
                <w:sz w:val="20"/>
                <w:szCs w:val="20"/>
              </w:rPr>
            </w:pPr>
            <w:r>
              <w:rPr>
                <w:rFonts w:cs="Times New Roman"/>
                <w:sz w:val="20"/>
                <w:szCs w:val="20"/>
              </w:rPr>
              <w:t>30.10.2028</w:t>
            </w:r>
          </w:p>
        </w:tc>
      </w:tr>
    </w:tbl>
    <w:p>
      <w:pPr>
        <w:sectPr>
          <w:headerReference w:type="even" r:id="rId3"/>
          <w:headerReference w:type="default" r:id="rId4"/>
          <w:headerReference w:type="first" r:id="rId5"/>
          <w:type w:val="nextPage"/>
          <w:pgSz w:w="11906" w:h="16838"/>
          <w:pgMar w:left="1134" w:right="851" w:gutter="0" w:header="680" w:top="1134" w:footer="0" w:bottom="992"/>
          <w:pgNumType w:fmt="decimal"/>
          <w:formProt w:val="false"/>
          <w:titlePg/>
          <w:textDirection w:val="lrTb"/>
          <w:docGrid w:type="default" w:linePitch="360" w:charSpace="0"/>
        </w:sectPr>
      </w:pPr>
    </w:p>
    <w:p>
      <w:pPr>
        <w:pStyle w:val="Normal"/>
        <w:numPr>
          <w:ilvl w:val="1"/>
          <w:numId w:val="3"/>
        </w:numPr>
        <w:spacing w:lineRule="auto" w:line="276"/>
        <w:jc w:val="left"/>
        <w:rPr>
          <w:b/>
          <w:bCs/>
        </w:rPr>
      </w:pPr>
      <w:bookmarkStart w:id="24" w:name="_Toc133419424"/>
      <w:bookmarkStart w:id="25" w:name="_Toc46743511"/>
      <w:r>
        <w:rPr>
          <w:rFonts w:cs="Times New Roman"/>
          <w:b/>
          <w:bCs/>
          <w:iCs/>
          <w:color w:val="auto"/>
          <w:szCs w:val="24"/>
          <w:lang w:eastAsia="ru-RU" w:bidi="ar-SA"/>
        </w:rPr>
        <w:t>Требования</w:t>
      </w:r>
      <w:r>
        <w:rPr>
          <w:b/>
          <w:bCs/>
        </w:rPr>
        <w:t xml:space="preserve"> к </w:t>
      </w:r>
      <w:bookmarkEnd w:id="25"/>
      <w:r>
        <w:rPr>
          <w:b/>
          <w:bCs/>
        </w:rPr>
        <w:t>качеству услуг</w:t>
      </w:r>
      <w:bookmarkEnd w:id="24"/>
    </w:p>
    <w:p>
      <w:pPr>
        <w:pStyle w:val="Normal"/>
        <w:rPr>
          <w:b/>
        </w:rPr>
      </w:pPr>
      <w:bookmarkStart w:id="26" w:name="_Toc133419425"/>
      <w:bookmarkStart w:id="27" w:name="_Toc51339698"/>
      <w:r>
        <w:rPr>
          <w:b/>
        </w:rPr>
        <w:t xml:space="preserve">Таблица 4. Требования к </w:t>
      </w:r>
      <w:bookmarkEnd w:id="27"/>
      <w:r>
        <w:rPr>
          <w:b/>
        </w:rPr>
        <w:t>качеству услуг</w:t>
      </w:r>
      <w:bookmarkEnd w:id="26"/>
      <w:r>
        <w:rPr>
          <w:b/>
        </w:rPr>
        <w:t xml:space="preserve"> </w:t>
      </w:r>
    </w:p>
    <w:p>
      <w:pPr>
        <w:pStyle w:val="Normal"/>
        <w:rPr>
          <w:b/>
        </w:rPr>
      </w:pPr>
      <w:r>
        <w:rPr>
          <w:b/>
        </w:rPr>
        <w:t xml:space="preserve">Наименование услуг\этапа услуг: </w:t>
      </w:r>
      <w:r>
        <w:rPr>
          <w:b w:val="false"/>
          <w:bCs w:val="false"/>
        </w:rPr>
        <w:t>ОКПД2 02.40.10.119 Выполнение работ по лесовосстановлению на территории филиала ПАО «РусГидро» - «Чебоксарская ГЭС».</w:t>
      </w:r>
    </w:p>
    <w:tbl>
      <w:tblPr>
        <w:tblStyle w:val="af4"/>
        <w:tblW w:w="15460"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845"/>
        <w:gridCol w:w="2415"/>
        <w:gridCol w:w="3727"/>
        <w:gridCol w:w="8"/>
        <w:gridCol w:w="2644"/>
        <w:gridCol w:w="8"/>
        <w:gridCol w:w="2874"/>
        <w:gridCol w:w="6"/>
        <w:gridCol w:w="2640"/>
        <w:gridCol w:w="292"/>
      </w:tblGrid>
      <w:tr>
        <w:trPr>
          <w:trHeight w:val="20" w:hRule="atLeast"/>
        </w:trPr>
        <w:tc>
          <w:tcPr>
            <w:tcW w:w="845" w:type="dxa"/>
            <w:vMerge w:val="restart"/>
            <w:tcBorders/>
            <w:vAlign w:val="center"/>
          </w:tcPr>
          <w:p>
            <w:pPr>
              <w:pStyle w:val="Normal"/>
              <w:widowControl w:val="false"/>
              <w:suppressAutoHyphens w:val="true"/>
              <w:spacing w:before="0" w:after="0"/>
              <w:ind w:left="0" w:right="0" w:hanging="0"/>
              <w:jc w:val="center"/>
              <w:rPr/>
            </w:pPr>
            <w:r>
              <w:rPr>
                <w:b/>
                <w:bCs/>
                <w:sz w:val="20"/>
                <w:szCs w:val="20"/>
                <w:lang w:val="ru-RU" w:eastAsia="ru-RU"/>
              </w:rPr>
              <w:t xml:space="preserve">№ </w:t>
            </w:r>
            <w:r>
              <w:rPr>
                <w:b/>
                <w:bCs/>
                <w:sz w:val="20"/>
                <w:szCs w:val="20"/>
                <w:lang w:val="ru-RU" w:eastAsia="ru-RU"/>
              </w:rPr>
              <w:t>п/п</w:t>
            </w:r>
          </w:p>
        </w:tc>
        <w:tc>
          <w:tcPr>
            <w:tcW w:w="2415" w:type="dxa"/>
            <w:vMerge w:val="restart"/>
            <w:tcBorders/>
            <w:vAlign w:val="center"/>
          </w:tcPr>
          <w:p>
            <w:pPr>
              <w:pStyle w:val="Normal"/>
              <w:widowControl w:val="false"/>
              <w:suppressAutoHyphens w:val="true"/>
              <w:spacing w:before="0" w:after="0"/>
              <w:ind w:left="0" w:right="0" w:hanging="0"/>
              <w:jc w:val="center"/>
              <w:rPr/>
            </w:pPr>
            <w:r>
              <w:rPr>
                <w:b/>
                <w:bCs/>
                <w:sz w:val="20"/>
                <w:szCs w:val="20"/>
                <w:lang w:val="ru-RU" w:eastAsia="ru-RU"/>
              </w:rPr>
              <w:t>Наименование параметра</w:t>
            </w:r>
          </w:p>
        </w:tc>
        <w:tc>
          <w:tcPr>
            <w:tcW w:w="3727" w:type="dxa"/>
            <w:vMerge w:val="restart"/>
            <w:tcBorders/>
            <w:vAlign w:val="center"/>
          </w:tcPr>
          <w:p>
            <w:pPr>
              <w:pStyle w:val="Normal"/>
              <w:widowControl w:val="false"/>
              <w:suppressAutoHyphens w:val="true"/>
              <w:spacing w:before="0" w:after="0"/>
              <w:ind w:left="0" w:right="0" w:hanging="0"/>
              <w:jc w:val="center"/>
              <w:rPr/>
            </w:pPr>
            <w:r>
              <w:rPr>
                <w:b/>
                <w:bCs/>
                <w:sz w:val="20"/>
                <w:szCs w:val="20"/>
                <w:lang w:val="ru-RU" w:eastAsia="ru-RU"/>
              </w:rPr>
              <w:t>Требование заказчика</w:t>
            </w:r>
          </w:p>
        </w:tc>
        <w:tc>
          <w:tcPr>
            <w:tcW w:w="5534" w:type="dxa"/>
            <w:gridSpan w:val="4"/>
            <w:tcBorders/>
            <w:vAlign w:val="center"/>
          </w:tcPr>
          <w:p>
            <w:pPr>
              <w:pStyle w:val="Normal"/>
              <w:widowControl w:val="false"/>
              <w:suppressAutoHyphens w:val="true"/>
              <w:spacing w:before="0" w:after="0"/>
              <w:ind w:left="0" w:right="0" w:hanging="0"/>
              <w:jc w:val="center"/>
              <w:rPr/>
            </w:pPr>
            <w:r>
              <w:rPr>
                <w:b/>
                <w:bCs/>
                <w:sz w:val="20"/>
                <w:szCs w:val="20"/>
                <w:lang w:val="ru-RU" w:eastAsia="ru-RU"/>
              </w:rPr>
              <w:t>Способ подтверждения участником соответствия требованиям</w:t>
            </w:r>
          </w:p>
        </w:tc>
        <w:tc>
          <w:tcPr>
            <w:tcW w:w="2646" w:type="dxa"/>
            <w:gridSpan w:val="2"/>
            <w:vMerge w:val="restart"/>
            <w:tcBorders/>
            <w:vAlign w:val="center"/>
          </w:tcPr>
          <w:p>
            <w:pPr>
              <w:pStyle w:val="Normal"/>
              <w:widowControl w:val="false"/>
              <w:suppressAutoHyphens w:val="true"/>
              <w:spacing w:before="0" w:after="0"/>
              <w:ind w:left="0" w:right="0" w:hanging="0"/>
              <w:jc w:val="center"/>
              <w:rPr/>
            </w:pPr>
            <w:r>
              <w:rPr>
                <w:b/>
                <w:bCs/>
                <w:sz w:val="20"/>
                <w:szCs w:val="20"/>
                <w:lang w:val="ru-RU" w:eastAsia="ru-RU"/>
              </w:rPr>
              <w:t>Предложение участника по характеристикам и параметрам</w:t>
            </w:r>
          </w:p>
        </w:tc>
        <w:tc>
          <w:tcPr>
            <w:tcW w:w="292" w:type="dxa"/>
            <w:tcBorders>
              <w:top w:val="nil"/>
              <w:left w:val="nil"/>
              <w:bottom w:val="nil"/>
              <w:right w:val="nil"/>
            </w:tcBorders>
          </w:tcPr>
          <w:p>
            <w:pPr>
              <w:pStyle w:val="Normal"/>
              <w:widowControl w:val="false"/>
              <w:suppressAutoHyphens w:val="true"/>
              <w:spacing w:before="0" w:after="0"/>
              <w:rPr>
                <w:szCs w:val="20"/>
                <w:lang w:eastAsia="ru-RU"/>
              </w:rPr>
            </w:pPr>
            <w:r>
              <w:rPr>
                <w:sz w:val="20"/>
                <w:szCs w:val="20"/>
                <w:lang w:eastAsia="ru-RU"/>
              </w:rPr>
            </w:r>
          </w:p>
        </w:tc>
      </w:tr>
      <w:tr>
        <w:trPr>
          <w:trHeight w:val="20" w:hRule="atLeast"/>
        </w:trPr>
        <w:tc>
          <w:tcPr>
            <w:tcW w:w="845" w:type="dxa"/>
            <w:vMerge w:val="continue"/>
            <w:tcBorders/>
            <w:vAlign w:val="center"/>
          </w:tcPr>
          <w:p>
            <w:pPr>
              <w:pStyle w:val="Normal"/>
              <w:widowControl w:val="false"/>
              <w:suppressAutoHyphens w:val="true"/>
              <w:spacing w:before="0" w:after="0"/>
              <w:ind w:left="0" w:right="0" w:hanging="0"/>
              <w:jc w:val="center"/>
              <w:rPr>
                <w:b/>
                <w:bCs/>
                <w:sz w:val="20"/>
              </w:rPr>
            </w:pPr>
            <w:r>
              <w:rPr>
                <w:b/>
                <w:bCs/>
                <w:sz w:val="20"/>
              </w:rPr>
            </w:r>
          </w:p>
        </w:tc>
        <w:tc>
          <w:tcPr>
            <w:tcW w:w="2415" w:type="dxa"/>
            <w:vMerge w:val="continue"/>
            <w:tcBorders/>
            <w:vAlign w:val="center"/>
          </w:tcPr>
          <w:p>
            <w:pPr>
              <w:pStyle w:val="Normal"/>
              <w:widowControl w:val="false"/>
              <w:suppressAutoHyphens w:val="true"/>
              <w:spacing w:before="0" w:after="0"/>
              <w:ind w:left="0" w:right="0" w:hanging="0"/>
              <w:jc w:val="left"/>
              <w:rPr>
                <w:b/>
                <w:bCs/>
                <w:sz w:val="20"/>
              </w:rPr>
            </w:pPr>
            <w:r>
              <w:rPr>
                <w:b/>
                <w:bCs/>
                <w:sz w:val="20"/>
              </w:rPr>
            </w:r>
          </w:p>
        </w:tc>
        <w:tc>
          <w:tcPr>
            <w:tcW w:w="3727" w:type="dxa"/>
            <w:vMerge w:val="continue"/>
            <w:tcBorders/>
            <w:vAlign w:val="center"/>
          </w:tcPr>
          <w:p>
            <w:pPr>
              <w:pStyle w:val="Normal"/>
              <w:widowControl w:val="false"/>
              <w:suppressAutoHyphens w:val="true"/>
              <w:spacing w:before="0" w:after="0"/>
              <w:ind w:left="0" w:right="0" w:hanging="0"/>
              <w:jc w:val="left"/>
              <w:rPr>
                <w:b/>
                <w:bCs/>
                <w:sz w:val="20"/>
              </w:rPr>
            </w:pPr>
            <w:r>
              <w:rPr>
                <w:b/>
                <w:bCs/>
                <w:sz w:val="20"/>
              </w:rPr>
            </w:r>
          </w:p>
        </w:tc>
        <w:tc>
          <w:tcPr>
            <w:tcW w:w="2652" w:type="dxa"/>
            <w:gridSpan w:val="2"/>
            <w:tcBorders/>
            <w:vAlign w:val="center"/>
          </w:tcPr>
          <w:p>
            <w:pPr>
              <w:pStyle w:val="Normal"/>
              <w:widowControl w:val="false"/>
              <w:suppressAutoHyphens w:val="true"/>
              <w:spacing w:before="0" w:after="0"/>
              <w:ind w:left="0" w:right="0" w:hanging="0"/>
              <w:jc w:val="center"/>
              <w:rPr/>
            </w:pPr>
            <w:r>
              <w:rPr>
                <w:b/>
                <w:bCs/>
                <w:sz w:val="20"/>
                <w:szCs w:val="20"/>
                <w:lang w:val="ru-RU" w:eastAsia="ru-RU"/>
              </w:rPr>
              <w:t>Согласие с требованием/ указание характеристик</w:t>
            </w:r>
          </w:p>
        </w:tc>
        <w:tc>
          <w:tcPr>
            <w:tcW w:w="2882" w:type="dxa"/>
            <w:gridSpan w:val="2"/>
            <w:tcBorders/>
            <w:vAlign w:val="center"/>
          </w:tcPr>
          <w:p>
            <w:pPr>
              <w:pStyle w:val="Normal"/>
              <w:widowControl w:val="false"/>
              <w:suppressAutoHyphens w:val="true"/>
              <w:spacing w:before="0" w:after="0"/>
              <w:ind w:left="0" w:right="0" w:hanging="0"/>
              <w:jc w:val="center"/>
              <w:rPr/>
            </w:pPr>
            <w:r>
              <w:rPr>
                <w:b/>
                <w:bCs/>
                <w:sz w:val="20"/>
                <w:szCs w:val="20"/>
                <w:lang w:val="ru-RU" w:eastAsia="ru-RU"/>
              </w:rPr>
              <w:t>Предоставление подтверждающего документа или иной способ подтверждения</w:t>
            </w:r>
          </w:p>
        </w:tc>
        <w:tc>
          <w:tcPr>
            <w:tcW w:w="2646" w:type="dxa"/>
            <w:gridSpan w:val="2"/>
            <w:vMerge w:val="continue"/>
            <w:tcBorders/>
            <w:vAlign w:val="center"/>
          </w:tcPr>
          <w:p>
            <w:pPr>
              <w:pStyle w:val="Normal"/>
              <w:widowControl w:val="false"/>
              <w:suppressAutoHyphens w:val="true"/>
              <w:spacing w:before="0" w:after="0"/>
              <w:ind w:left="0" w:right="0" w:hanging="0"/>
              <w:rPr>
                <w:b/>
                <w:bCs/>
                <w:sz w:val="20"/>
              </w:rPr>
            </w:pPr>
            <w:r>
              <w:rPr>
                <w:b/>
                <w:bCs/>
                <w:sz w:val="20"/>
              </w:rPr>
            </w:r>
          </w:p>
        </w:tc>
        <w:tc>
          <w:tcPr>
            <w:tcW w:w="292" w:type="dxa"/>
            <w:tcBorders>
              <w:top w:val="nil"/>
              <w:left w:val="nil"/>
              <w:bottom w:val="nil"/>
              <w:right w:val="nil"/>
            </w:tcBorders>
          </w:tcPr>
          <w:p>
            <w:pPr>
              <w:pStyle w:val="Normal"/>
              <w:widowControl w:val="false"/>
              <w:suppressAutoHyphens w:val="true"/>
              <w:spacing w:before="0" w:after="0"/>
              <w:rPr>
                <w:szCs w:val="20"/>
                <w:lang w:eastAsia="ru-RU"/>
              </w:rPr>
            </w:pPr>
            <w:r>
              <w:rPr>
                <w:sz w:val="20"/>
                <w:szCs w:val="20"/>
                <w:lang w:eastAsia="ru-RU"/>
              </w:rPr>
            </w:r>
          </w:p>
        </w:tc>
      </w:tr>
      <w:tr>
        <w:trPr>
          <w:trHeight w:val="20" w:hRule="atLeast"/>
        </w:trPr>
        <w:tc>
          <w:tcPr>
            <w:tcW w:w="845" w:type="dxa"/>
            <w:tcBorders/>
            <w:vAlign w:val="center"/>
          </w:tcPr>
          <w:p>
            <w:pPr>
              <w:pStyle w:val="Normal"/>
              <w:widowControl w:val="false"/>
              <w:suppressAutoHyphens w:val="true"/>
              <w:spacing w:before="0" w:after="0"/>
              <w:ind w:left="0" w:right="0" w:hanging="0"/>
              <w:jc w:val="center"/>
              <w:rPr/>
            </w:pPr>
            <w:bookmarkStart w:id="28" w:name="_Toc53499667"/>
            <w:r>
              <w:rPr>
                <w:b/>
                <w:bCs/>
                <w:sz w:val="20"/>
                <w:szCs w:val="20"/>
                <w:lang w:val="ru-RU" w:eastAsia="ru-RU"/>
              </w:rPr>
              <w:t>1</w:t>
            </w:r>
            <w:bookmarkEnd w:id="28"/>
          </w:p>
        </w:tc>
        <w:tc>
          <w:tcPr>
            <w:tcW w:w="2415" w:type="dxa"/>
            <w:tcBorders/>
            <w:vAlign w:val="center"/>
          </w:tcPr>
          <w:p>
            <w:pPr>
              <w:pStyle w:val="Normal"/>
              <w:widowControl w:val="false"/>
              <w:suppressAutoHyphens w:val="true"/>
              <w:spacing w:before="0" w:after="0"/>
              <w:ind w:left="0" w:right="0" w:hanging="0"/>
              <w:jc w:val="left"/>
              <w:rPr/>
            </w:pPr>
            <w:r>
              <w:rPr>
                <w:b/>
                <w:bCs/>
                <w:sz w:val="20"/>
                <w:szCs w:val="20"/>
                <w:lang w:val="ru-RU" w:eastAsia="ru-RU"/>
              </w:rPr>
              <w:t>2</w:t>
            </w:r>
          </w:p>
        </w:tc>
        <w:tc>
          <w:tcPr>
            <w:tcW w:w="3727" w:type="dxa"/>
            <w:tcBorders/>
            <w:vAlign w:val="center"/>
          </w:tcPr>
          <w:p>
            <w:pPr>
              <w:pStyle w:val="Normal"/>
              <w:widowControl w:val="false"/>
              <w:suppressAutoHyphens w:val="true"/>
              <w:spacing w:before="0" w:after="0"/>
              <w:ind w:left="0" w:right="0" w:hanging="0"/>
              <w:jc w:val="left"/>
              <w:rPr/>
            </w:pPr>
            <w:r>
              <w:rPr>
                <w:b/>
                <w:bCs/>
                <w:sz w:val="20"/>
                <w:szCs w:val="20"/>
                <w:lang w:val="ru-RU" w:eastAsia="ru-RU"/>
              </w:rPr>
              <w:t>3</w:t>
            </w:r>
          </w:p>
        </w:tc>
        <w:tc>
          <w:tcPr>
            <w:tcW w:w="2652" w:type="dxa"/>
            <w:gridSpan w:val="2"/>
            <w:tcBorders/>
            <w:vAlign w:val="center"/>
          </w:tcPr>
          <w:p>
            <w:pPr>
              <w:pStyle w:val="Normal"/>
              <w:widowControl w:val="false"/>
              <w:suppressAutoHyphens w:val="true"/>
              <w:spacing w:before="0" w:after="0"/>
              <w:ind w:left="0" w:right="0" w:hanging="0"/>
              <w:jc w:val="center"/>
              <w:rPr/>
            </w:pPr>
            <w:r>
              <w:rPr>
                <w:b/>
                <w:bCs/>
                <w:sz w:val="20"/>
                <w:szCs w:val="20"/>
                <w:lang w:val="ru-RU" w:eastAsia="ru-RU"/>
              </w:rPr>
              <w:t>4</w:t>
            </w:r>
          </w:p>
        </w:tc>
        <w:tc>
          <w:tcPr>
            <w:tcW w:w="2882" w:type="dxa"/>
            <w:gridSpan w:val="2"/>
            <w:tcBorders/>
            <w:vAlign w:val="center"/>
          </w:tcPr>
          <w:p>
            <w:pPr>
              <w:pStyle w:val="Normal"/>
              <w:widowControl w:val="false"/>
              <w:suppressAutoHyphens w:val="true"/>
              <w:spacing w:before="0" w:after="0"/>
              <w:ind w:left="0" w:right="0" w:hanging="0"/>
              <w:jc w:val="center"/>
              <w:rPr/>
            </w:pPr>
            <w:r>
              <w:rPr>
                <w:b/>
                <w:bCs/>
                <w:sz w:val="20"/>
                <w:szCs w:val="20"/>
                <w:lang w:val="ru-RU" w:eastAsia="ru-RU"/>
              </w:rPr>
              <w:t>5</w:t>
            </w:r>
          </w:p>
        </w:tc>
        <w:tc>
          <w:tcPr>
            <w:tcW w:w="2646" w:type="dxa"/>
            <w:gridSpan w:val="2"/>
            <w:tcBorders/>
            <w:vAlign w:val="center"/>
          </w:tcPr>
          <w:p>
            <w:pPr>
              <w:pStyle w:val="Normal"/>
              <w:widowControl w:val="false"/>
              <w:suppressAutoHyphens w:val="true"/>
              <w:spacing w:before="0" w:after="0"/>
              <w:ind w:left="0" w:right="0" w:hanging="0"/>
              <w:rPr/>
            </w:pPr>
            <w:r>
              <w:rPr>
                <w:b/>
                <w:bCs/>
                <w:sz w:val="20"/>
                <w:szCs w:val="20"/>
                <w:lang w:val="ru-RU" w:eastAsia="ru-RU"/>
              </w:rPr>
              <w:t>6</w:t>
            </w:r>
          </w:p>
        </w:tc>
        <w:tc>
          <w:tcPr>
            <w:tcW w:w="292" w:type="dxa"/>
            <w:tcBorders>
              <w:top w:val="nil"/>
              <w:left w:val="nil"/>
              <w:bottom w:val="nil"/>
              <w:right w:val="nil"/>
            </w:tcBorders>
          </w:tcPr>
          <w:p>
            <w:pPr>
              <w:pStyle w:val="Normal"/>
              <w:widowControl w:val="false"/>
              <w:suppressAutoHyphens w:val="true"/>
              <w:spacing w:before="0" w:after="0"/>
              <w:rPr>
                <w:szCs w:val="20"/>
                <w:lang w:eastAsia="ru-RU"/>
              </w:rPr>
            </w:pPr>
            <w:r>
              <w:rPr>
                <w:sz w:val="20"/>
                <w:szCs w:val="20"/>
                <w:lang w:eastAsia="ru-RU"/>
              </w:rPr>
            </w:r>
          </w:p>
        </w:tc>
      </w:tr>
      <w:tr>
        <w:trPr>
          <w:trHeight w:val="20" w:hRule="atLeast"/>
        </w:trPr>
        <w:tc>
          <w:tcPr>
            <w:tcW w:w="845" w:type="dxa"/>
            <w:tcBorders/>
            <w:vAlign w:val="center"/>
          </w:tcPr>
          <w:p>
            <w:pPr>
              <w:pStyle w:val="Normal"/>
              <w:widowControl w:val="false"/>
              <w:numPr>
                <w:ilvl w:val="0"/>
                <w:numId w:val="2"/>
              </w:numPr>
              <w:suppressAutoHyphens w:val="true"/>
              <w:spacing w:before="0" w:after="0"/>
              <w:ind w:left="0" w:right="0" w:hanging="0"/>
              <w:jc w:val="center"/>
              <w:rPr>
                <w:sz w:val="20"/>
                <w:szCs w:val="20"/>
                <w:lang w:eastAsia="ru-RU"/>
              </w:rPr>
            </w:pPr>
            <w:r>
              <w:rPr>
                <w:sz w:val="20"/>
                <w:szCs w:val="20"/>
                <w:lang w:eastAsia="ru-RU"/>
              </w:rPr>
            </w:r>
          </w:p>
        </w:tc>
        <w:tc>
          <w:tcPr>
            <w:tcW w:w="6150" w:type="dxa"/>
            <w:gridSpan w:val="3"/>
            <w:tcBorders/>
            <w:vAlign w:val="center"/>
          </w:tcPr>
          <w:p>
            <w:pPr>
              <w:pStyle w:val="Normal"/>
              <w:widowControl w:val="false"/>
              <w:suppressAutoHyphens w:val="true"/>
              <w:spacing w:before="0" w:after="0"/>
              <w:ind w:left="0" w:right="0" w:hanging="0"/>
              <w:jc w:val="left"/>
              <w:rPr/>
            </w:pPr>
            <w:r>
              <w:rPr>
                <w:b/>
                <w:sz w:val="20"/>
                <w:szCs w:val="20"/>
                <w:lang w:val="ru-RU" w:eastAsia="ru-RU"/>
              </w:rPr>
              <w:t>Требования к оказанию услуг</w:t>
            </w:r>
          </w:p>
        </w:tc>
        <w:tc>
          <w:tcPr>
            <w:tcW w:w="2652"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880"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640" w:type="dxa"/>
            <w:tcBorders/>
          </w:tcPr>
          <w:p>
            <w:pPr>
              <w:pStyle w:val="Normal"/>
              <w:widowControl w:val="false"/>
              <w:suppressAutoHyphens w:val="true"/>
              <w:spacing w:before="0" w:after="0"/>
              <w:ind w:left="0" w:right="0" w:hanging="0"/>
              <w:rPr/>
            </w:pPr>
            <w:r>
              <w:rPr>
                <w:b/>
                <w:sz w:val="20"/>
                <w:szCs w:val="20"/>
                <w:lang w:val="ru-RU" w:eastAsia="ru-RU"/>
              </w:rPr>
              <w:t>-//-</w:t>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1"/>
                <w:numId w:val="2"/>
              </w:numPr>
              <w:suppressAutoHyphens w:val="true"/>
              <w:spacing w:before="0" w:after="0"/>
              <w:ind w:left="0" w:right="0" w:hanging="0"/>
              <w:jc w:val="center"/>
              <w:rPr>
                <w:b/>
                <w:bCs/>
                <w:sz w:val="20"/>
              </w:rPr>
            </w:pPr>
            <w:r>
              <w:rPr>
                <w:b/>
                <w:bCs/>
                <w:sz w:val="20"/>
              </w:rPr>
            </w:r>
          </w:p>
        </w:tc>
        <w:tc>
          <w:tcPr>
            <w:tcW w:w="6150" w:type="dxa"/>
            <w:gridSpan w:val="3"/>
            <w:tcBorders/>
            <w:vAlign w:val="center"/>
          </w:tcPr>
          <w:p>
            <w:pPr>
              <w:pStyle w:val="Normal"/>
              <w:widowControl w:val="false"/>
              <w:suppressAutoHyphens w:val="true"/>
              <w:spacing w:before="0" w:after="0"/>
              <w:ind w:left="0" w:right="0" w:hanging="0"/>
              <w:jc w:val="left"/>
              <w:rPr/>
            </w:pPr>
            <w:r>
              <w:rPr>
                <w:b/>
                <w:sz w:val="20"/>
                <w:szCs w:val="20"/>
                <w:lang w:val="ru-RU" w:eastAsia="ru-RU"/>
              </w:rPr>
              <w:t>Общие требования к оказанию услуг</w:t>
            </w:r>
          </w:p>
        </w:tc>
        <w:tc>
          <w:tcPr>
            <w:tcW w:w="2652"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880"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640" w:type="dxa"/>
            <w:tcBorders/>
          </w:tcPr>
          <w:p>
            <w:pPr>
              <w:pStyle w:val="Normal"/>
              <w:widowControl w:val="false"/>
              <w:suppressAutoHyphens w:val="true"/>
              <w:spacing w:before="0" w:after="0"/>
              <w:ind w:left="0" w:right="0" w:hanging="0"/>
              <w:rPr/>
            </w:pPr>
            <w:r>
              <w:rPr>
                <w:b/>
                <w:sz w:val="20"/>
                <w:szCs w:val="20"/>
                <w:lang w:val="ru-RU" w:eastAsia="ru-RU"/>
              </w:rPr>
              <w:t>-//-</w:t>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2415" w:type="dxa"/>
            <w:tcBorders/>
            <w:vAlign w:val="center"/>
          </w:tcPr>
          <w:p>
            <w:pPr>
              <w:pStyle w:val="Normal"/>
              <w:widowControl w:val="false"/>
              <w:suppressAutoHyphens w:val="true"/>
              <w:spacing w:before="0" w:after="0"/>
              <w:ind w:left="0" w:right="0" w:hanging="0"/>
              <w:jc w:val="both"/>
              <w:rPr/>
            </w:pPr>
            <w:r>
              <w:rPr>
                <w:sz w:val="20"/>
                <w:szCs w:val="20"/>
                <w:lang w:val="ru-RU" w:eastAsia="ru-RU"/>
              </w:rPr>
              <w:t>Общие технические условия для оказания услуг</w:t>
            </w:r>
          </w:p>
        </w:tc>
        <w:tc>
          <w:tcPr>
            <w:tcW w:w="3727" w:type="dxa"/>
            <w:tcBorders/>
            <w:vAlign w:val="center"/>
          </w:tcPr>
          <w:p>
            <w:pPr>
              <w:pStyle w:val="Normal"/>
              <w:widowControl w:val="false"/>
              <w:suppressAutoHyphens w:val="true"/>
              <w:spacing w:before="0" w:after="0"/>
              <w:ind w:left="0" w:right="0" w:hanging="0"/>
              <w:jc w:val="both"/>
              <w:rPr/>
            </w:pPr>
            <w:r>
              <w:rPr>
                <w:sz w:val="20"/>
                <w:szCs w:val="20"/>
                <w:lang w:val="ru-RU" w:eastAsia="ru-RU"/>
              </w:rPr>
              <w:t xml:space="preserve">Осуществляются в соответствии с </w:t>
            </w:r>
            <w:r>
              <w:rPr>
                <w:bCs/>
                <w:sz w:val="20"/>
                <w:szCs w:val="20"/>
                <w:lang w:val="ru-RU" w:eastAsia="ru-RU"/>
              </w:rPr>
              <w:t>СТО РусГидро 05.02.126-2020 «Правила организации безопасного обслуживания гидротехнических сооружений, гидросилового и гидромеханического оборудования гидроэлектростанций»</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2" w:type="dxa"/>
            <w:gridSpan w:val="2"/>
            <w:tcBorders/>
            <w:vAlign w:val="center"/>
          </w:tcPr>
          <w:p>
            <w:pPr>
              <w:pStyle w:val="Normal"/>
              <w:widowControl w:val="false"/>
              <w:suppressAutoHyphens w:val="true"/>
              <w:spacing w:before="0" w:after="0"/>
              <w:ind w:left="0" w:right="0" w:hanging="0"/>
              <w:jc w:val="center"/>
              <w:rPr>
                <w:b/>
                <w:sz w:val="20"/>
              </w:rPr>
            </w:pPr>
            <w:r>
              <w:rPr>
                <w:b/>
                <w:sz w:val="20"/>
              </w:rPr>
            </w:r>
          </w:p>
        </w:tc>
        <w:tc>
          <w:tcPr>
            <w:tcW w:w="2646" w:type="dxa"/>
            <w:gridSpan w:val="2"/>
            <w:tcBorders/>
          </w:tcPr>
          <w:p>
            <w:pPr>
              <w:pStyle w:val="Normal"/>
              <w:widowControl w:val="false"/>
              <w:suppressAutoHyphens w:val="true"/>
              <w:spacing w:before="0" w:after="0"/>
              <w:ind w:left="0" w:right="0" w:hanging="0"/>
              <w:rPr>
                <w:sz w:val="20"/>
              </w:rPr>
            </w:pPr>
            <w:r>
              <w:rPr>
                <w:sz w:val="20"/>
              </w:rPr>
            </w:r>
          </w:p>
        </w:tc>
        <w:tc>
          <w:tcPr>
            <w:tcW w:w="292" w:type="dxa"/>
            <w:tcBorders>
              <w:top w:val="nil"/>
              <w:left w:val="nil"/>
              <w:bottom w:val="nil"/>
              <w:right w:val="nil"/>
            </w:tcBorders>
          </w:tcPr>
          <w:p>
            <w:pPr>
              <w:pStyle w:val="Normal"/>
              <w:widowControl w:val="false"/>
              <w:suppressAutoHyphens w:val="true"/>
              <w:spacing w:before="0" w:after="0"/>
              <w:rPr>
                <w:szCs w:val="20"/>
                <w:lang w:eastAsia="ru-RU"/>
              </w:rPr>
            </w:pPr>
            <w:r>
              <w:rPr>
                <w:sz w:val="20"/>
                <w:szCs w:val="20"/>
                <w:lang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2415" w:type="dxa"/>
            <w:tcBorders>
              <w:top w:val="nil"/>
            </w:tcBorders>
            <w:vAlign w:val="center"/>
          </w:tcPr>
          <w:p>
            <w:pPr>
              <w:pStyle w:val="Normal"/>
              <w:widowControl w:val="false"/>
              <w:suppressAutoHyphens w:val="true"/>
              <w:spacing w:before="0" w:after="0"/>
              <w:ind w:left="0" w:right="0" w:hanging="0"/>
              <w:jc w:val="both"/>
              <w:rPr/>
            </w:pPr>
            <w:r>
              <w:rPr>
                <w:sz w:val="20"/>
                <w:szCs w:val="20"/>
                <w:lang w:val="ru-RU" w:eastAsia="ru-RU"/>
              </w:rPr>
              <w:t>Подготовка рабочих мест и допуск на рабочие места выполняет персонал Заказчика</w:t>
            </w:r>
          </w:p>
        </w:tc>
        <w:tc>
          <w:tcPr>
            <w:tcW w:w="3727" w:type="dxa"/>
            <w:tcBorders/>
            <w:vAlign w:val="center"/>
          </w:tcPr>
          <w:p>
            <w:pPr>
              <w:pStyle w:val="Normal"/>
              <w:widowControl w:val="false"/>
              <w:suppressAutoHyphens w:val="true"/>
              <w:spacing w:before="0" w:after="0"/>
              <w:ind w:left="0" w:right="0" w:hanging="0"/>
              <w:jc w:val="both"/>
              <w:rPr/>
            </w:pPr>
            <w:r>
              <w:rPr>
                <w:sz w:val="20"/>
                <w:szCs w:val="20"/>
                <w:lang w:val="ru-RU" w:eastAsia="ru-RU"/>
              </w:rPr>
              <w:t>В соответствии с СТО РусГидро 05.02.126-2020 «Правила организации безопасного обслуживания гидротехнических сооружений, гидросилового и гидромеханического оборудования гидроэлектростанций»</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2" w:type="dxa"/>
            <w:gridSpan w:val="2"/>
            <w:tcBorders/>
            <w:vAlign w:val="center"/>
          </w:tcPr>
          <w:p>
            <w:pPr>
              <w:pStyle w:val="Normal"/>
              <w:widowControl w:val="false"/>
              <w:suppressAutoHyphens w:val="true"/>
              <w:spacing w:before="0" w:after="0"/>
              <w:ind w:left="0" w:right="0" w:hanging="0"/>
              <w:jc w:val="center"/>
              <w:rPr>
                <w:sz w:val="20"/>
                <w:szCs w:val="20"/>
                <w:lang w:eastAsia="ru-RU"/>
              </w:rPr>
            </w:pPr>
            <w:r>
              <w:rPr>
                <w:sz w:val="20"/>
                <w:szCs w:val="20"/>
                <w:lang w:eastAsia="ru-RU"/>
              </w:rPr>
            </w:r>
          </w:p>
        </w:tc>
        <w:tc>
          <w:tcPr>
            <w:tcW w:w="2646" w:type="dxa"/>
            <w:gridSpan w:val="2"/>
            <w:tcBorders/>
          </w:tcPr>
          <w:p>
            <w:pPr>
              <w:pStyle w:val="Normal"/>
              <w:widowControl w:val="false"/>
              <w:suppressAutoHyphens w:val="true"/>
              <w:spacing w:before="0" w:after="0"/>
              <w:ind w:left="0" w:right="0" w:hanging="0"/>
              <w:rPr>
                <w:sz w:val="20"/>
              </w:rPr>
            </w:pPr>
            <w:r>
              <w:rPr>
                <w:sz w:val="20"/>
              </w:rPr>
            </w:r>
          </w:p>
        </w:tc>
        <w:tc>
          <w:tcPr>
            <w:tcW w:w="292" w:type="dxa"/>
            <w:tcBorders>
              <w:top w:val="nil"/>
              <w:left w:val="nil"/>
              <w:bottom w:val="nil"/>
              <w:right w:val="nil"/>
            </w:tcBorders>
          </w:tcPr>
          <w:p>
            <w:pPr>
              <w:pStyle w:val="Normal"/>
              <w:widowControl w:val="false"/>
              <w:suppressAutoHyphens w:val="true"/>
              <w:spacing w:before="0" w:after="0"/>
              <w:rPr>
                <w:szCs w:val="20"/>
                <w:lang w:eastAsia="ru-RU"/>
              </w:rPr>
            </w:pPr>
            <w:r>
              <w:rPr>
                <w:sz w:val="20"/>
                <w:szCs w:val="20"/>
                <w:lang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2415" w:type="dxa"/>
            <w:tcBorders>
              <w:top w:val="nil"/>
            </w:tcBorders>
            <w:vAlign w:val="center"/>
          </w:tcPr>
          <w:p>
            <w:pPr>
              <w:pStyle w:val="Normal"/>
              <w:widowControl w:val="false"/>
              <w:suppressAutoHyphens w:val="true"/>
              <w:spacing w:before="0" w:after="0"/>
              <w:ind w:left="0" w:right="0" w:hanging="0"/>
              <w:jc w:val="both"/>
              <w:rPr/>
            </w:pPr>
            <w:r>
              <w:rPr>
                <w:sz w:val="20"/>
                <w:szCs w:val="20"/>
                <w:lang w:val="ru-RU" w:eastAsia="ru-RU"/>
              </w:rPr>
              <w:t>Исполнитель обеспечивает соблюдение техники безопасности при оказании услуг, требований к квалификации персонала.</w:t>
            </w:r>
          </w:p>
        </w:tc>
        <w:tc>
          <w:tcPr>
            <w:tcW w:w="3727" w:type="dxa"/>
            <w:tcBorders/>
            <w:vAlign w:val="center"/>
          </w:tcPr>
          <w:p>
            <w:pPr>
              <w:pStyle w:val="Normal"/>
              <w:widowControl w:val="false"/>
              <w:suppressAutoHyphens w:val="true"/>
              <w:spacing w:before="0" w:after="0"/>
              <w:ind w:left="0" w:right="0" w:hanging="0"/>
              <w:jc w:val="both"/>
              <w:rPr/>
            </w:pPr>
            <w:r>
              <w:rPr>
                <w:sz w:val="20"/>
                <w:szCs w:val="20"/>
                <w:lang w:val="ru-RU" w:eastAsia="ru-RU"/>
              </w:rPr>
              <w:t>В соответствии со статьёй 214 Трудового Кодекса РФ, ЕТКС работ и рабочих профессий</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2" w:type="dxa"/>
            <w:gridSpan w:val="2"/>
            <w:tcBorders/>
            <w:vAlign w:val="center"/>
          </w:tcPr>
          <w:p>
            <w:pPr>
              <w:pStyle w:val="Normal"/>
              <w:widowControl w:val="false"/>
              <w:suppressAutoHyphens w:val="true"/>
              <w:spacing w:before="0" w:after="0"/>
              <w:ind w:left="0" w:right="0" w:hanging="0"/>
              <w:jc w:val="center"/>
              <w:rPr>
                <w:sz w:val="20"/>
                <w:szCs w:val="20"/>
                <w:lang w:eastAsia="ru-RU"/>
              </w:rPr>
            </w:pPr>
            <w:r>
              <w:rPr>
                <w:sz w:val="20"/>
                <w:szCs w:val="20"/>
                <w:lang w:eastAsia="ru-RU"/>
              </w:rPr>
            </w:r>
          </w:p>
        </w:tc>
        <w:tc>
          <w:tcPr>
            <w:tcW w:w="2646" w:type="dxa"/>
            <w:gridSpan w:val="2"/>
            <w:tcBorders/>
          </w:tcPr>
          <w:p>
            <w:pPr>
              <w:pStyle w:val="Normal"/>
              <w:widowControl w:val="false"/>
              <w:suppressAutoHyphens w:val="true"/>
              <w:spacing w:before="0" w:after="0"/>
              <w:ind w:left="0" w:right="0" w:hanging="0"/>
              <w:rPr>
                <w:sz w:val="20"/>
              </w:rPr>
            </w:pPr>
            <w:r>
              <w:rPr>
                <w:sz w:val="20"/>
              </w:rPr>
            </w:r>
          </w:p>
        </w:tc>
        <w:tc>
          <w:tcPr>
            <w:tcW w:w="292" w:type="dxa"/>
            <w:tcBorders>
              <w:top w:val="nil"/>
              <w:left w:val="nil"/>
              <w:bottom w:val="nil"/>
              <w:right w:val="nil"/>
            </w:tcBorders>
          </w:tcPr>
          <w:p>
            <w:pPr>
              <w:pStyle w:val="Normal"/>
              <w:widowControl w:val="false"/>
              <w:suppressAutoHyphens w:val="true"/>
              <w:spacing w:before="0" w:after="0"/>
              <w:rPr>
                <w:szCs w:val="20"/>
                <w:lang w:eastAsia="ru-RU"/>
              </w:rPr>
            </w:pPr>
            <w:r>
              <w:rPr>
                <w:sz w:val="20"/>
                <w:szCs w:val="20"/>
                <w:lang w:eastAsia="ru-RU"/>
              </w:rPr>
            </w:r>
          </w:p>
        </w:tc>
      </w:tr>
      <w:tr>
        <w:trPr>
          <w:trHeight w:val="20" w:hRule="atLeast"/>
        </w:trPr>
        <w:tc>
          <w:tcPr>
            <w:tcW w:w="845" w:type="dxa"/>
            <w:tcBorders/>
            <w:vAlign w:val="center"/>
          </w:tcPr>
          <w:p>
            <w:pPr>
              <w:pStyle w:val="Normal"/>
              <w:widowControl w:val="false"/>
              <w:numPr>
                <w:ilvl w:val="1"/>
                <w:numId w:val="2"/>
              </w:numPr>
              <w:suppressAutoHyphens w:val="true"/>
              <w:spacing w:before="0" w:after="0"/>
              <w:ind w:left="0" w:right="0" w:hanging="0"/>
              <w:jc w:val="center"/>
              <w:rPr>
                <w:sz w:val="20"/>
              </w:rPr>
            </w:pPr>
            <w:r>
              <w:rPr>
                <w:sz w:val="20"/>
              </w:rPr>
            </w:r>
          </w:p>
        </w:tc>
        <w:tc>
          <w:tcPr>
            <w:tcW w:w="6150" w:type="dxa"/>
            <w:gridSpan w:val="3"/>
            <w:tcBorders/>
          </w:tcPr>
          <w:p>
            <w:pPr>
              <w:pStyle w:val="Normal"/>
              <w:widowControl w:val="false"/>
              <w:suppressAutoHyphens w:val="true"/>
              <w:spacing w:before="0" w:after="0"/>
              <w:ind w:left="0" w:right="0" w:hanging="0"/>
              <w:jc w:val="both"/>
              <w:rPr/>
            </w:pPr>
            <w:r>
              <w:rPr>
                <w:b/>
                <w:sz w:val="20"/>
                <w:szCs w:val="20"/>
                <w:lang w:val="ru-RU" w:eastAsia="ru-RU"/>
              </w:rPr>
              <w:t>Требования к способам оказания услуг</w:t>
            </w:r>
          </w:p>
        </w:tc>
        <w:tc>
          <w:tcPr>
            <w:tcW w:w="2652" w:type="dxa"/>
            <w:gridSpan w:val="2"/>
            <w:tcBorders/>
          </w:tcPr>
          <w:p>
            <w:pPr>
              <w:pStyle w:val="Normal"/>
              <w:widowControl w:val="false"/>
              <w:suppressAutoHyphens w:val="true"/>
              <w:spacing w:before="0" w:after="0"/>
              <w:ind w:left="0" w:right="0" w:hanging="0"/>
              <w:jc w:val="center"/>
              <w:rPr/>
            </w:pPr>
            <w:r>
              <w:rPr>
                <w:sz w:val="20"/>
                <w:szCs w:val="20"/>
                <w:lang w:val="ru-RU" w:eastAsia="ru-RU"/>
              </w:rPr>
              <w:t>-//-</w:t>
            </w:r>
          </w:p>
        </w:tc>
        <w:tc>
          <w:tcPr>
            <w:tcW w:w="2880"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640" w:type="dxa"/>
            <w:tcBorders/>
          </w:tcPr>
          <w:p>
            <w:pPr>
              <w:pStyle w:val="Normal"/>
              <w:widowControl w:val="false"/>
              <w:suppressAutoHyphens w:val="true"/>
              <w:spacing w:before="0" w:after="0"/>
              <w:ind w:left="0" w:right="0" w:hanging="0"/>
              <w:rPr/>
            </w:pPr>
            <w:r>
              <w:rPr>
                <w:b/>
                <w:sz w:val="20"/>
                <w:szCs w:val="20"/>
                <w:lang w:val="ru-RU" w:eastAsia="ru-RU"/>
              </w:rPr>
              <w:t>-//-</w:t>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6150" w:type="dxa"/>
            <w:gridSpan w:val="3"/>
            <w:tcBorders/>
          </w:tcPr>
          <w:p>
            <w:pPr>
              <w:pStyle w:val="Normal"/>
              <w:widowControl w:val="false"/>
              <w:suppressAutoHyphens w:val="true"/>
              <w:spacing w:before="0" w:after="0"/>
              <w:ind w:left="0" w:right="0" w:hanging="0"/>
              <w:jc w:val="both"/>
              <w:rPr/>
            </w:pPr>
            <w:r>
              <w:rPr>
                <w:sz w:val="20"/>
                <w:szCs w:val="20"/>
                <w:lang w:val="ru-RU" w:eastAsia="ru-RU"/>
              </w:rPr>
              <w:t>В полном соответствии с п. 2.1.1 настоящих Технических требований</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0" w:type="dxa"/>
            <w:gridSpan w:val="2"/>
            <w:tcBorders/>
          </w:tcPr>
          <w:p>
            <w:pPr>
              <w:pStyle w:val="Normal"/>
              <w:widowControl w:val="false"/>
              <w:suppressAutoHyphens w:val="true"/>
              <w:spacing w:before="0" w:after="0"/>
              <w:ind w:left="0" w:right="0" w:hanging="0"/>
              <w:jc w:val="center"/>
              <w:rPr>
                <w:sz w:val="20"/>
              </w:rPr>
            </w:pPr>
            <w:r>
              <w:rPr>
                <w:sz w:val="20"/>
              </w:rPr>
            </w:r>
          </w:p>
        </w:tc>
        <w:tc>
          <w:tcPr>
            <w:tcW w:w="2640" w:type="dxa"/>
            <w:tcBorders/>
          </w:tcPr>
          <w:p>
            <w:pPr>
              <w:pStyle w:val="Normal"/>
              <w:widowControl w:val="false"/>
              <w:suppressAutoHyphens w:val="true"/>
              <w:spacing w:before="0" w:after="0"/>
              <w:ind w:left="0" w:right="0" w:hanging="0"/>
              <w:rPr>
                <w:sz w:val="20"/>
              </w:rPr>
            </w:pPr>
            <w:r>
              <w:rPr>
                <w:sz w:val="20"/>
              </w:rPr>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6150" w:type="dxa"/>
            <w:gridSpan w:val="3"/>
            <w:tcBorders/>
          </w:tcPr>
          <w:p>
            <w:pPr>
              <w:pStyle w:val="Normal"/>
              <w:widowControl w:val="false"/>
              <w:suppressAutoHyphens w:val="true"/>
              <w:spacing w:before="0" w:after="0"/>
              <w:ind w:left="0" w:right="0" w:hanging="0"/>
              <w:jc w:val="both"/>
              <w:rPr/>
            </w:pPr>
            <w:r>
              <w:rPr>
                <w:sz w:val="20"/>
                <w:szCs w:val="20"/>
                <w:lang w:val="ru-RU" w:eastAsia="ru-RU"/>
              </w:rPr>
              <w:t>Посадка саженцев (лесовосстановление) осуществляется  в соответствии со статьей 63.1 Лесного Кодекса РФ не позднее чем через три года после рубки лесных насаждений Исполнитель обязан обеспечить лесовосстановление или лесоразведение на площади, равной площади вырубленных лесных насаждений (1,2772 га) и агротехнический уход за лесными растениями основных лесных древесных пород в течение трех лет с момента посадки.</w:t>
            </w:r>
          </w:p>
          <w:p>
            <w:pPr>
              <w:pStyle w:val="Normal"/>
              <w:widowControl w:val="false"/>
              <w:suppressAutoHyphens w:val="true"/>
              <w:spacing w:before="0" w:after="0"/>
              <w:ind w:left="0" w:right="0" w:hanging="0"/>
              <w:jc w:val="both"/>
              <w:rPr/>
            </w:pPr>
            <w:r>
              <w:rPr>
                <w:sz w:val="20"/>
                <w:szCs w:val="20"/>
                <w:lang w:val="ru-RU" w:eastAsia="ru-RU"/>
              </w:rPr>
              <w:t>Семема, сеянцы и саженцы, применяемые для лесовосстановления, должны соответствовать установленным требованиям ГОСТ 3317.  ГОСТ 13204. ГОСТ 13853. ГОСТ 13854. ГОСТ 13855. ГОСТ 13856. ГОСТ 13857. ГОСТ 14161 и ГОСТ 24835.</w:t>
            </w:r>
          </w:p>
          <w:p>
            <w:pPr>
              <w:pStyle w:val="Normal"/>
              <w:widowControl w:val="false"/>
              <w:suppressAutoHyphens w:val="true"/>
              <w:spacing w:before="0" w:after="0"/>
              <w:ind w:left="0" w:right="0" w:hanging="0"/>
              <w:jc w:val="both"/>
              <w:rPr>
                <w:sz w:val="20"/>
                <w:szCs w:val="20"/>
                <w:lang w:eastAsia="ru-RU"/>
              </w:rPr>
            </w:pPr>
            <w:r>
              <w:rPr>
                <w:sz w:val="20"/>
                <w:szCs w:val="20"/>
                <w:lang w:eastAsia="ru-RU"/>
              </w:rPr>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0" w:type="dxa"/>
            <w:gridSpan w:val="2"/>
            <w:tcBorders/>
          </w:tcPr>
          <w:p>
            <w:pPr>
              <w:pStyle w:val="Normal"/>
              <w:widowControl w:val="false"/>
              <w:suppressAutoHyphens w:val="true"/>
              <w:spacing w:before="0" w:after="0"/>
              <w:ind w:left="0" w:right="0" w:hanging="0"/>
              <w:jc w:val="center"/>
              <w:rPr>
                <w:sz w:val="20"/>
              </w:rPr>
            </w:pPr>
            <w:r>
              <w:rPr>
                <w:sz w:val="20"/>
              </w:rPr>
            </w:r>
          </w:p>
        </w:tc>
        <w:tc>
          <w:tcPr>
            <w:tcW w:w="2640" w:type="dxa"/>
            <w:tcBorders/>
          </w:tcPr>
          <w:p>
            <w:pPr>
              <w:pStyle w:val="Normal"/>
              <w:widowControl w:val="false"/>
              <w:suppressAutoHyphens w:val="true"/>
              <w:spacing w:before="0" w:after="0"/>
              <w:ind w:left="0" w:right="0" w:hanging="0"/>
              <w:rPr>
                <w:sz w:val="20"/>
              </w:rPr>
            </w:pPr>
            <w:r>
              <w:rPr>
                <w:sz w:val="20"/>
              </w:rPr>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1"/>
                <w:numId w:val="2"/>
              </w:numPr>
              <w:suppressAutoHyphens w:val="true"/>
              <w:spacing w:before="0" w:after="0"/>
              <w:ind w:left="0" w:right="0" w:hanging="0"/>
              <w:jc w:val="center"/>
              <w:rPr>
                <w:sz w:val="20"/>
                <w:lang w:val="en-US"/>
              </w:rPr>
            </w:pPr>
            <w:r>
              <w:rPr>
                <w:sz w:val="20"/>
                <w:lang w:val="en-US"/>
              </w:rPr>
            </w:r>
          </w:p>
        </w:tc>
        <w:tc>
          <w:tcPr>
            <w:tcW w:w="6150" w:type="dxa"/>
            <w:gridSpan w:val="3"/>
            <w:tcBorders/>
            <w:vAlign w:val="center"/>
          </w:tcPr>
          <w:p>
            <w:pPr>
              <w:pStyle w:val="Normal"/>
              <w:widowControl w:val="false"/>
              <w:suppressAutoHyphens w:val="true"/>
              <w:spacing w:before="0" w:after="0"/>
              <w:ind w:left="0" w:right="0" w:hanging="0"/>
              <w:jc w:val="both"/>
              <w:rPr/>
            </w:pPr>
            <w:r>
              <w:rPr>
                <w:b/>
                <w:sz w:val="20"/>
                <w:szCs w:val="20"/>
                <w:lang w:val="ru-RU" w:eastAsia="ru-RU"/>
              </w:rPr>
              <w:t>Требования к процедурам оказания услуг</w:t>
            </w:r>
          </w:p>
        </w:tc>
        <w:tc>
          <w:tcPr>
            <w:tcW w:w="2652" w:type="dxa"/>
            <w:gridSpan w:val="2"/>
            <w:tcBorders/>
          </w:tcPr>
          <w:p>
            <w:pPr>
              <w:pStyle w:val="Normal"/>
              <w:widowControl w:val="false"/>
              <w:suppressAutoHyphens w:val="true"/>
              <w:spacing w:before="0" w:after="0"/>
              <w:ind w:left="0" w:right="0" w:hanging="0"/>
              <w:jc w:val="center"/>
              <w:rPr/>
            </w:pPr>
            <w:r>
              <w:rPr>
                <w:sz w:val="20"/>
                <w:szCs w:val="20"/>
                <w:lang w:val="ru-RU" w:eastAsia="ru-RU"/>
              </w:rPr>
              <w:t>-//-</w:t>
            </w:r>
          </w:p>
        </w:tc>
        <w:tc>
          <w:tcPr>
            <w:tcW w:w="2880"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640" w:type="dxa"/>
            <w:tcBorders/>
          </w:tcPr>
          <w:p>
            <w:pPr>
              <w:pStyle w:val="Normal"/>
              <w:widowControl w:val="false"/>
              <w:suppressAutoHyphens w:val="true"/>
              <w:spacing w:before="0" w:after="0"/>
              <w:ind w:left="0" w:right="0" w:hanging="0"/>
              <w:rPr/>
            </w:pPr>
            <w:r>
              <w:rPr>
                <w:b/>
                <w:sz w:val="20"/>
                <w:szCs w:val="20"/>
                <w:lang w:val="ru-RU" w:eastAsia="ru-RU"/>
              </w:rPr>
              <w:t>-//-</w:t>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2415" w:type="dxa"/>
            <w:tcBorders/>
            <w:vAlign w:val="center"/>
          </w:tcPr>
          <w:p>
            <w:pPr>
              <w:pStyle w:val="Normal"/>
              <w:widowControl w:val="false"/>
              <w:suppressAutoHyphens w:val="true"/>
              <w:spacing w:before="0" w:after="0"/>
              <w:ind w:left="0" w:right="0" w:hanging="0"/>
              <w:jc w:val="both"/>
              <w:rPr/>
            </w:pPr>
            <w:r>
              <w:rPr>
                <w:sz w:val="20"/>
                <w:szCs w:val="20"/>
                <w:lang w:val="ru-RU" w:eastAsia="ru-RU"/>
              </w:rPr>
              <w:t>Организационно-технические мероприятия по допуску персонала исполнителя</w:t>
            </w:r>
          </w:p>
        </w:tc>
        <w:tc>
          <w:tcPr>
            <w:tcW w:w="3727" w:type="dxa"/>
            <w:tcBorders/>
            <w:vAlign w:val="center"/>
          </w:tcPr>
          <w:p>
            <w:pPr>
              <w:pStyle w:val="Normal"/>
              <w:widowControl w:val="false"/>
              <w:suppressAutoHyphens w:val="true"/>
              <w:spacing w:before="0" w:after="0"/>
              <w:ind w:left="0" w:right="0" w:hanging="0"/>
              <w:jc w:val="both"/>
              <w:rPr/>
            </w:pPr>
            <w:r>
              <w:rPr>
                <w:sz w:val="20"/>
                <w:szCs w:val="20"/>
                <w:lang w:val="ru-RU" w:eastAsia="ru-RU"/>
              </w:rPr>
              <w:t>Осуществляется в соответствии с регламентом «О допуске персонала подрядных организаций на объектах ПАО «РусГидро» (утв. приказом ПАО «РусГидро» № 300 от 28.04.2023 г.)</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2" w:type="dxa"/>
            <w:gridSpan w:val="2"/>
            <w:tcBorders/>
          </w:tcPr>
          <w:p>
            <w:pPr>
              <w:pStyle w:val="Normal"/>
              <w:widowControl w:val="false"/>
              <w:suppressAutoHyphens w:val="true"/>
              <w:spacing w:before="0" w:after="0"/>
              <w:ind w:left="0" w:right="0" w:hanging="0"/>
              <w:jc w:val="center"/>
              <w:rPr>
                <w:sz w:val="20"/>
                <w:szCs w:val="20"/>
                <w:lang w:eastAsia="ru-RU"/>
              </w:rPr>
            </w:pPr>
            <w:r>
              <w:rPr>
                <w:sz w:val="20"/>
                <w:szCs w:val="20"/>
                <w:lang w:eastAsia="ru-RU"/>
              </w:rPr>
            </w:r>
          </w:p>
        </w:tc>
        <w:tc>
          <w:tcPr>
            <w:tcW w:w="2646" w:type="dxa"/>
            <w:gridSpan w:val="2"/>
            <w:tcBorders/>
          </w:tcPr>
          <w:p>
            <w:pPr>
              <w:pStyle w:val="Normal"/>
              <w:widowControl w:val="false"/>
              <w:suppressAutoHyphens w:val="true"/>
              <w:spacing w:before="0" w:after="0"/>
              <w:ind w:left="0" w:right="0" w:hanging="0"/>
              <w:rPr>
                <w:b/>
                <w:sz w:val="20"/>
              </w:rPr>
            </w:pPr>
            <w:r>
              <w:rPr>
                <w:b/>
                <w:sz w:val="20"/>
              </w:rPr>
            </w:r>
          </w:p>
        </w:tc>
        <w:tc>
          <w:tcPr>
            <w:tcW w:w="292" w:type="dxa"/>
            <w:tcBorders>
              <w:top w:val="nil"/>
              <w:left w:val="nil"/>
              <w:bottom w:val="nil"/>
              <w:right w:val="nil"/>
            </w:tcBorders>
          </w:tcPr>
          <w:p>
            <w:pPr>
              <w:pStyle w:val="Normal"/>
              <w:widowControl w:val="false"/>
              <w:suppressAutoHyphens w:val="true"/>
              <w:spacing w:before="0" w:after="0"/>
              <w:rPr>
                <w:szCs w:val="20"/>
                <w:lang w:eastAsia="ru-RU"/>
              </w:rPr>
            </w:pPr>
            <w:r>
              <w:rPr>
                <w:sz w:val="20"/>
                <w:szCs w:val="20"/>
                <w:lang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2415" w:type="dxa"/>
            <w:tcBorders/>
          </w:tcPr>
          <w:p>
            <w:pPr>
              <w:pStyle w:val="Normal"/>
              <w:widowControl w:val="false"/>
              <w:suppressAutoHyphens w:val="true"/>
              <w:spacing w:before="0" w:after="0"/>
              <w:ind w:left="0" w:right="0" w:hanging="0"/>
              <w:jc w:val="both"/>
              <w:rPr/>
            </w:pPr>
            <w:r>
              <w:rPr>
                <w:sz w:val="20"/>
                <w:szCs w:val="20"/>
                <w:lang w:val="ru-RU" w:eastAsia="ru-RU"/>
              </w:rPr>
              <w:t xml:space="preserve"> </w:t>
            </w:r>
            <w:r>
              <w:rPr>
                <w:sz w:val="20"/>
                <w:szCs w:val="20"/>
                <w:lang w:val="ru-RU" w:eastAsia="ru-RU"/>
              </w:rPr>
              <w:t>Посадка саженцев (лесовосстановление):</w:t>
            </w:r>
          </w:p>
        </w:tc>
        <w:tc>
          <w:tcPr>
            <w:tcW w:w="3727" w:type="dxa"/>
            <w:tcBorders/>
          </w:tcPr>
          <w:p>
            <w:pPr>
              <w:pStyle w:val="Normal"/>
              <w:widowControl w:val="false"/>
              <w:suppressAutoHyphens w:val="true"/>
              <w:spacing w:before="0" w:after="0"/>
              <w:ind w:left="0" w:right="0" w:hanging="0"/>
              <w:jc w:val="both"/>
              <w:rPr/>
            </w:pPr>
            <w:r>
              <w:rPr>
                <w:sz w:val="20"/>
                <w:szCs w:val="20"/>
                <w:lang w:val="ru-RU" w:eastAsia="ru-RU"/>
              </w:rPr>
              <w:t>- Перевозка саженцев до места посадки;</w:t>
            </w:r>
          </w:p>
          <w:p>
            <w:pPr>
              <w:pStyle w:val="Normal"/>
              <w:widowControl w:val="false"/>
              <w:suppressAutoHyphens w:val="true"/>
              <w:spacing w:before="0" w:after="0"/>
              <w:ind w:left="0" w:right="0" w:hanging="0"/>
              <w:jc w:val="both"/>
              <w:rPr/>
            </w:pPr>
            <w:r>
              <w:rPr>
                <w:sz w:val="20"/>
                <w:szCs w:val="20"/>
                <w:lang w:val="ru-RU" w:eastAsia="ru-RU"/>
              </w:rPr>
              <w:t>- Оказание Услуг по посадке саженцев, согласно таблице № 2 “Перечень и объем оказываемых Услуг” и проектном лесовосстановления, утвержденного Министерством природных ресурсов, экологии и охраны окружающей среды Республики Марий Эл;</w:t>
            </w:r>
          </w:p>
          <w:p>
            <w:pPr>
              <w:pStyle w:val="Normal"/>
              <w:widowControl w:val="false"/>
              <w:suppressAutoHyphens w:val="true"/>
              <w:spacing w:before="0" w:after="0"/>
              <w:ind w:left="0" w:right="0" w:hanging="0"/>
              <w:jc w:val="both"/>
              <w:rPr/>
            </w:pPr>
            <w:r>
              <w:rPr>
                <w:sz w:val="20"/>
                <w:szCs w:val="20"/>
                <w:lang w:val="ru-RU" w:eastAsia="ru-RU"/>
              </w:rPr>
              <w:t>- Фотоотчет всего процесса посадки саженцев (не менее 10 снимков, в формате *jpeg);</w:t>
            </w:r>
          </w:p>
          <w:p>
            <w:pPr>
              <w:pStyle w:val="Normal"/>
              <w:widowControl w:val="false"/>
              <w:suppressAutoHyphens w:val="true"/>
              <w:spacing w:before="0" w:after="0"/>
              <w:ind w:left="0" w:right="0" w:hanging="0"/>
              <w:jc w:val="both"/>
              <w:rPr/>
            </w:pPr>
            <w:r>
              <w:rPr>
                <w:sz w:val="20"/>
                <w:szCs w:val="20"/>
                <w:lang w:val="ru-RU" w:eastAsia="ru-RU"/>
              </w:rPr>
              <w:t>-  Отчет о воспроизводстве лесов (по форме 1-ВЛ) и направление в Министерство природных ресурсов, экологии и охраны окружающей среды Республики Марий Эл;</w:t>
            </w:r>
          </w:p>
          <w:p>
            <w:pPr>
              <w:pStyle w:val="Normal"/>
              <w:widowControl w:val="false"/>
              <w:suppressAutoHyphens w:val="true"/>
              <w:spacing w:before="0" w:after="0"/>
              <w:ind w:left="0" w:right="0" w:hanging="0"/>
              <w:jc w:val="both"/>
              <w:rPr/>
            </w:pPr>
            <w:r>
              <w:rPr>
                <w:sz w:val="20"/>
                <w:szCs w:val="20"/>
                <w:lang w:val="ru-RU" w:eastAsia="ru-RU"/>
              </w:rPr>
              <w:t>- Сопровождение при инвентаризации, проводимой Министерством природных ресурсов, экологии и охраны окружающей среды Республики Марий Эл.</w:t>
            </w:r>
          </w:p>
          <w:p>
            <w:pPr>
              <w:pStyle w:val="Normal"/>
              <w:widowControl w:val="false"/>
              <w:suppressAutoHyphens w:val="true"/>
              <w:spacing w:before="0" w:after="0"/>
              <w:ind w:left="0" w:right="0" w:hanging="0"/>
              <w:jc w:val="both"/>
              <w:rPr>
                <w:sz w:val="20"/>
                <w:szCs w:val="20"/>
                <w:lang w:eastAsia="ru-RU"/>
              </w:rPr>
            </w:pPr>
            <w:r>
              <w:rPr>
                <w:sz w:val="20"/>
                <w:szCs w:val="20"/>
                <w:lang w:eastAsia="ru-RU"/>
              </w:rPr>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2" w:type="dxa"/>
            <w:gridSpan w:val="2"/>
            <w:tcBorders/>
          </w:tcPr>
          <w:p>
            <w:pPr>
              <w:pStyle w:val="Normal"/>
              <w:widowControl w:val="false"/>
              <w:suppressAutoHyphens w:val="true"/>
              <w:spacing w:before="0" w:after="0"/>
              <w:ind w:left="0" w:right="0" w:hanging="0"/>
              <w:jc w:val="center"/>
              <w:rPr>
                <w:sz w:val="20"/>
                <w:szCs w:val="20"/>
                <w:lang w:eastAsia="ru-RU"/>
              </w:rPr>
            </w:pPr>
            <w:r>
              <w:rPr>
                <w:sz w:val="20"/>
                <w:szCs w:val="20"/>
                <w:lang w:eastAsia="ru-RU"/>
              </w:rPr>
            </w:r>
          </w:p>
        </w:tc>
        <w:tc>
          <w:tcPr>
            <w:tcW w:w="2646" w:type="dxa"/>
            <w:gridSpan w:val="2"/>
            <w:tcBorders/>
          </w:tcPr>
          <w:p>
            <w:pPr>
              <w:pStyle w:val="Normal"/>
              <w:widowControl w:val="false"/>
              <w:suppressAutoHyphens w:val="true"/>
              <w:spacing w:before="0" w:after="0"/>
              <w:ind w:left="0" w:right="0" w:hanging="0"/>
              <w:rPr>
                <w:b/>
                <w:sz w:val="20"/>
              </w:rPr>
            </w:pPr>
            <w:r>
              <w:rPr>
                <w:b/>
                <w:sz w:val="20"/>
              </w:rPr>
            </w:r>
          </w:p>
        </w:tc>
        <w:tc>
          <w:tcPr>
            <w:tcW w:w="292" w:type="dxa"/>
            <w:tcBorders>
              <w:top w:val="nil"/>
              <w:left w:val="nil"/>
              <w:bottom w:val="nil"/>
              <w:right w:val="nil"/>
            </w:tcBorders>
          </w:tcPr>
          <w:p>
            <w:pPr>
              <w:pStyle w:val="Normal"/>
              <w:widowControl w:val="false"/>
              <w:suppressAutoHyphens w:val="true"/>
              <w:spacing w:before="0" w:after="0"/>
              <w:rPr>
                <w:szCs w:val="20"/>
                <w:lang w:eastAsia="ru-RU"/>
              </w:rPr>
            </w:pPr>
            <w:r>
              <w:rPr>
                <w:sz w:val="20"/>
                <w:szCs w:val="20"/>
                <w:lang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2415" w:type="dxa"/>
            <w:tcBorders/>
            <w:vAlign w:val="center"/>
          </w:tcPr>
          <w:p>
            <w:pPr>
              <w:pStyle w:val="Normal"/>
              <w:widowControl w:val="false"/>
              <w:suppressAutoHyphens w:val="true"/>
              <w:spacing w:before="0" w:after="0"/>
              <w:ind w:left="0" w:right="0" w:hanging="0"/>
              <w:jc w:val="both"/>
              <w:rPr/>
            </w:pPr>
            <w:r>
              <w:rPr>
                <w:sz w:val="20"/>
                <w:szCs w:val="20"/>
                <w:lang w:val="ru-RU" w:eastAsia="ru-RU"/>
              </w:rPr>
              <w:t>Уход за саженцами в течении 3-х лет после посадки выполняется ручным либо механизированным способом и в объемах, согласно проекту лесовосстановления, утвержденного Министерством природных ресурсов, экологии и охраны окружающей среды Республики Марий Эл.</w:t>
            </w:r>
          </w:p>
          <w:p>
            <w:pPr>
              <w:pStyle w:val="Normal"/>
              <w:widowControl w:val="false"/>
              <w:suppressAutoHyphens w:val="true"/>
              <w:spacing w:before="0" w:after="0"/>
              <w:ind w:left="0" w:right="0" w:hanging="0"/>
              <w:jc w:val="both"/>
              <w:rPr>
                <w:sz w:val="20"/>
                <w:szCs w:val="20"/>
                <w:lang w:eastAsia="ru-RU"/>
              </w:rPr>
            </w:pPr>
            <w:r>
              <w:rPr>
                <w:sz w:val="20"/>
                <w:szCs w:val="20"/>
                <w:lang w:eastAsia="ru-RU"/>
              </w:rPr>
            </w:r>
          </w:p>
        </w:tc>
        <w:tc>
          <w:tcPr>
            <w:tcW w:w="3727" w:type="dxa"/>
            <w:tcBorders/>
            <w:vAlign w:val="center"/>
          </w:tcPr>
          <w:p>
            <w:pPr>
              <w:pStyle w:val="Normal"/>
              <w:widowControl w:val="false"/>
              <w:suppressAutoHyphens w:val="true"/>
              <w:spacing w:before="0" w:after="0"/>
              <w:ind w:left="0" w:right="0" w:hanging="0"/>
              <w:jc w:val="both"/>
              <w:rPr/>
            </w:pPr>
            <w:r>
              <w:rPr>
                <w:sz w:val="20"/>
                <w:szCs w:val="20"/>
                <w:lang w:val="ru-RU" w:eastAsia="ru-RU"/>
              </w:rPr>
              <w:t>- Фотоотчет всего процесса лесовосстановления (не менее 10 снимков, в формате *jpeg) (ежегодно);</w:t>
            </w:r>
          </w:p>
          <w:p>
            <w:pPr>
              <w:pStyle w:val="Normal"/>
              <w:widowControl w:val="false"/>
              <w:suppressAutoHyphens w:val="true"/>
              <w:spacing w:before="0" w:after="0"/>
              <w:ind w:left="0" w:right="0" w:hanging="0"/>
              <w:jc w:val="both"/>
              <w:rPr/>
            </w:pPr>
            <w:r>
              <w:rPr>
                <w:sz w:val="20"/>
                <w:szCs w:val="20"/>
                <w:lang w:val="ru-RU" w:eastAsia="ru-RU"/>
              </w:rPr>
              <w:t>-  Отчет о воспроизводстве лесов (по форме 1-ВЛ) (ежегодно);</w:t>
            </w:r>
          </w:p>
          <w:p>
            <w:pPr>
              <w:pStyle w:val="Normal"/>
              <w:widowControl w:val="false"/>
              <w:suppressAutoHyphens w:val="true"/>
              <w:spacing w:before="0" w:after="0"/>
              <w:ind w:left="0" w:right="0" w:hanging="0"/>
              <w:jc w:val="both"/>
              <w:rPr/>
            </w:pPr>
            <w:r>
              <w:rPr>
                <w:sz w:val="20"/>
                <w:szCs w:val="20"/>
                <w:lang w:val="ru-RU" w:eastAsia="ru-RU"/>
              </w:rPr>
              <w:t>- Сопровождение при инвентаризации, проводимой Министерством природных ресурсов, экологии и охраны окружающей среды Республики Марий Эл (ежегодно);</w:t>
            </w:r>
          </w:p>
          <w:p>
            <w:pPr>
              <w:pStyle w:val="Normal"/>
              <w:widowControl w:val="false"/>
              <w:suppressAutoHyphens w:val="true"/>
              <w:spacing w:before="0" w:after="0"/>
              <w:ind w:left="0" w:right="0" w:hanging="0"/>
              <w:jc w:val="both"/>
              <w:rPr>
                <w:sz w:val="20"/>
                <w:szCs w:val="20"/>
                <w:lang w:eastAsia="ru-RU"/>
              </w:rPr>
            </w:pPr>
            <w:r>
              <w:rPr>
                <w:sz w:val="20"/>
                <w:szCs w:val="20"/>
                <w:lang w:eastAsia="ru-RU"/>
              </w:rPr>
            </w:r>
          </w:p>
          <w:p>
            <w:pPr>
              <w:pStyle w:val="Normal"/>
              <w:widowControl w:val="false"/>
              <w:suppressAutoHyphens w:val="true"/>
              <w:spacing w:before="0" w:after="0"/>
              <w:ind w:left="0" w:right="0" w:hanging="0"/>
              <w:jc w:val="both"/>
              <w:rPr/>
            </w:pPr>
            <w:r>
              <w:rPr>
                <w:sz w:val="20"/>
                <w:szCs w:val="20"/>
                <w:lang w:val="ru-RU" w:eastAsia="ru-RU"/>
              </w:rPr>
              <w:t>Примечание:</w:t>
            </w:r>
          </w:p>
          <w:p>
            <w:pPr>
              <w:pStyle w:val="Normal"/>
              <w:widowControl w:val="false"/>
              <w:suppressAutoHyphens w:val="true"/>
              <w:spacing w:before="0" w:after="0"/>
              <w:ind w:left="0" w:right="0" w:hanging="0"/>
              <w:jc w:val="both"/>
              <w:rPr/>
            </w:pPr>
            <w:r>
              <w:rPr>
                <w:sz w:val="20"/>
                <w:szCs w:val="20"/>
                <w:lang w:val="ru-RU" w:eastAsia="ru-RU"/>
              </w:rPr>
              <w:t>В случае мотивированного отказа от приемки Услуг, Исполнитель должен устранить замечания за счет собственных сил и средств, необходимых для достижения проектных показателей в соответствии с проектом лесовосстановления.</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2" w:type="dxa"/>
            <w:gridSpan w:val="2"/>
            <w:tcBorders/>
          </w:tcPr>
          <w:p>
            <w:pPr>
              <w:pStyle w:val="Normal"/>
              <w:widowControl w:val="false"/>
              <w:suppressAutoHyphens w:val="true"/>
              <w:spacing w:before="0" w:after="0"/>
              <w:ind w:left="0" w:right="0" w:hanging="0"/>
              <w:jc w:val="center"/>
              <w:rPr>
                <w:sz w:val="20"/>
                <w:szCs w:val="20"/>
                <w:lang w:eastAsia="ru-RU"/>
              </w:rPr>
            </w:pPr>
            <w:r>
              <w:rPr>
                <w:sz w:val="20"/>
                <w:szCs w:val="20"/>
                <w:lang w:eastAsia="ru-RU"/>
              </w:rPr>
            </w:r>
          </w:p>
        </w:tc>
        <w:tc>
          <w:tcPr>
            <w:tcW w:w="2646" w:type="dxa"/>
            <w:gridSpan w:val="2"/>
            <w:tcBorders/>
          </w:tcPr>
          <w:p>
            <w:pPr>
              <w:pStyle w:val="Normal"/>
              <w:widowControl w:val="false"/>
              <w:suppressAutoHyphens w:val="true"/>
              <w:spacing w:before="0" w:after="0"/>
              <w:ind w:left="0" w:right="0" w:hanging="0"/>
              <w:rPr>
                <w:b/>
                <w:sz w:val="20"/>
              </w:rPr>
            </w:pPr>
            <w:r>
              <w:rPr>
                <w:b/>
                <w:sz w:val="20"/>
              </w:rPr>
            </w:r>
          </w:p>
        </w:tc>
        <w:tc>
          <w:tcPr>
            <w:tcW w:w="292" w:type="dxa"/>
            <w:tcBorders>
              <w:top w:val="nil"/>
              <w:left w:val="nil"/>
              <w:bottom w:val="nil"/>
              <w:right w:val="nil"/>
            </w:tcBorders>
          </w:tcPr>
          <w:p>
            <w:pPr>
              <w:pStyle w:val="Normal"/>
              <w:widowControl w:val="false"/>
              <w:suppressAutoHyphens w:val="true"/>
              <w:spacing w:before="0" w:after="0"/>
              <w:rPr>
                <w:szCs w:val="20"/>
                <w:lang w:eastAsia="ru-RU"/>
              </w:rPr>
            </w:pPr>
            <w:r>
              <w:rPr>
                <w:sz w:val="20"/>
                <w:szCs w:val="20"/>
                <w:lang w:eastAsia="ru-RU"/>
              </w:rPr>
            </w:r>
          </w:p>
        </w:tc>
      </w:tr>
      <w:tr>
        <w:trPr>
          <w:trHeight w:val="20" w:hRule="atLeast"/>
        </w:trPr>
        <w:tc>
          <w:tcPr>
            <w:tcW w:w="845" w:type="dxa"/>
            <w:tcBorders/>
            <w:vAlign w:val="center"/>
          </w:tcPr>
          <w:p>
            <w:pPr>
              <w:pStyle w:val="Normal"/>
              <w:widowControl w:val="false"/>
              <w:numPr>
                <w:ilvl w:val="1"/>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b/>
                <w:sz w:val="20"/>
                <w:szCs w:val="20"/>
                <w:lang w:val="ru-RU" w:eastAsia="ru-RU"/>
              </w:rPr>
              <w:t>Требования к применяемым при оказании услуг оборудованию и материалам</w:t>
            </w:r>
          </w:p>
        </w:tc>
        <w:tc>
          <w:tcPr>
            <w:tcW w:w="2652" w:type="dxa"/>
            <w:gridSpan w:val="2"/>
            <w:tcBorders/>
          </w:tcPr>
          <w:p>
            <w:pPr>
              <w:pStyle w:val="Normal"/>
              <w:widowControl w:val="false"/>
              <w:suppressAutoHyphens w:val="true"/>
              <w:spacing w:before="0" w:after="0"/>
              <w:ind w:left="0" w:right="0" w:hanging="0"/>
              <w:jc w:val="center"/>
              <w:rPr/>
            </w:pPr>
            <w:r>
              <w:rPr>
                <w:sz w:val="20"/>
                <w:szCs w:val="20"/>
                <w:lang w:val="ru-RU" w:eastAsia="ru-RU"/>
              </w:rPr>
              <w:t>-//-</w:t>
            </w:r>
          </w:p>
        </w:tc>
        <w:tc>
          <w:tcPr>
            <w:tcW w:w="2880"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640" w:type="dxa"/>
            <w:tcBorders/>
          </w:tcPr>
          <w:p>
            <w:pPr>
              <w:pStyle w:val="Normal"/>
              <w:widowControl w:val="false"/>
              <w:suppressAutoHyphens w:val="true"/>
              <w:spacing w:before="0" w:after="0"/>
              <w:ind w:left="0" w:right="0" w:hanging="0"/>
              <w:rPr/>
            </w:pPr>
            <w:r>
              <w:rPr>
                <w:b/>
                <w:sz w:val="20"/>
                <w:szCs w:val="20"/>
                <w:lang w:val="ru-RU" w:eastAsia="ru-RU"/>
              </w:rPr>
              <w:t>-//-</w:t>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sz w:val="20"/>
                <w:szCs w:val="20"/>
                <w:lang w:val="ru-RU" w:eastAsia="ru-RU"/>
              </w:rPr>
              <w:t>В соответствии с п. 1.6 настоящих ТТ</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0" w:type="dxa"/>
            <w:gridSpan w:val="2"/>
            <w:tcBorders/>
          </w:tcPr>
          <w:p>
            <w:pPr>
              <w:pStyle w:val="Normal"/>
              <w:widowControl w:val="false"/>
              <w:suppressAutoHyphens w:val="true"/>
              <w:spacing w:before="0" w:after="0"/>
              <w:ind w:left="0" w:right="0" w:hanging="0"/>
              <w:jc w:val="center"/>
              <w:rPr>
                <w:sz w:val="20"/>
              </w:rPr>
            </w:pPr>
            <w:r>
              <w:rPr>
                <w:sz w:val="20"/>
              </w:rPr>
            </w:r>
          </w:p>
        </w:tc>
        <w:tc>
          <w:tcPr>
            <w:tcW w:w="2640" w:type="dxa"/>
            <w:tcBorders/>
          </w:tcPr>
          <w:p>
            <w:pPr>
              <w:pStyle w:val="Normal"/>
              <w:widowControl w:val="false"/>
              <w:suppressAutoHyphens w:val="true"/>
              <w:spacing w:before="0" w:after="0"/>
              <w:ind w:left="0" w:right="0" w:hanging="0"/>
              <w:rPr>
                <w:b/>
                <w:sz w:val="20"/>
              </w:rPr>
            </w:pPr>
            <w:r>
              <w:rPr>
                <w:b/>
                <w:sz w:val="20"/>
              </w:rPr>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sz w:val="20"/>
                <w:szCs w:val="20"/>
                <w:lang w:val="ru-RU" w:eastAsia="ru-RU"/>
              </w:rPr>
              <w:t>Исполнитель производит закупку необходимых для оказания услуги материалов, технологического оборудования за месяц до начала оказания услуг по договору.</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0" w:type="dxa"/>
            <w:gridSpan w:val="2"/>
            <w:tcBorders/>
          </w:tcPr>
          <w:p>
            <w:pPr>
              <w:pStyle w:val="Normal"/>
              <w:widowControl w:val="false"/>
              <w:suppressAutoHyphens w:val="true"/>
              <w:spacing w:before="0" w:after="0"/>
              <w:ind w:left="0" w:right="0" w:hanging="0"/>
              <w:jc w:val="center"/>
              <w:rPr>
                <w:sz w:val="20"/>
              </w:rPr>
            </w:pPr>
            <w:r>
              <w:rPr>
                <w:sz w:val="20"/>
              </w:rPr>
            </w:r>
          </w:p>
        </w:tc>
        <w:tc>
          <w:tcPr>
            <w:tcW w:w="2640" w:type="dxa"/>
            <w:tcBorders/>
          </w:tcPr>
          <w:p>
            <w:pPr>
              <w:pStyle w:val="Normal"/>
              <w:widowControl w:val="false"/>
              <w:suppressAutoHyphens w:val="true"/>
              <w:spacing w:before="0" w:after="0"/>
              <w:ind w:left="0" w:right="0" w:hanging="0"/>
              <w:rPr>
                <w:b/>
                <w:sz w:val="20"/>
              </w:rPr>
            </w:pPr>
            <w:r>
              <w:rPr>
                <w:b/>
                <w:sz w:val="20"/>
              </w:rPr>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sz w:val="20"/>
                <w:szCs w:val="20"/>
                <w:lang w:val="ru-RU" w:eastAsia="ru-RU"/>
              </w:rPr>
              <w:t>Исполнитель своими силами и за свой счёт обеспечивает: закупку, приемку, транспортировку, разгрузку и складирование прибывающих на объект материалов, оборудования и несет ответственность за сохранность всех материалов.</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0" w:type="dxa"/>
            <w:gridSpan w:val="2"/>
            <w:tcBorders/>
            <w:vAlign w:val="center"/>
          </w:tcPr>
          <w:p>
            <w:pPr>
              <w:pStyle w:val="Normal"/>
              <w:widowControl w:val="false"/>
              <w:suppressAutoHyphens w:val="true"/>
              <w:spacing w:before="0" w:after="0"/>
              <w:ind w:left="0" w:right="0" w:hanging="0"/>
              <w:jc w:val="center"/>
              <w:rPr>
                <w:sz w:val="20"/>
              </w:rPr>
            </w:pPr>
            <w:r>
              <w:rPr>
                <w:sz w:val="20"/>
              </w:rPr>
            </w:r>
          </w:p>
        </w:tc>
        <w:tc>
          <w:tcPr>
            <w:tcW w:w="2640" w:type="dxa"/>
            <w:tcBorders/>
          </w:tcPr>
          <w:p>
            <w:pPr>
              <w:pStyle w:val="Normal"/>
              <w:widowControl w:val="false"/>
              <w:suppressAutoHyphens w:val="true"/>
              <w:spacing w:before="0" w:after="0"/>
              <w:ind w:left="0" w:right="0" w:hanging="0"/>
              <w:rPr>
                <w:b/>
                <w:sz w:val="20"/>
              </w:rPr>
            </w:pPr>
            <w:r>
              <w:rPr>
                <w:b/>
                <w:sz w:val="20"/>
              </w:rPr>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1"/>
                <w:numId w:val="2"/>
              </w:numPr>
              <w:suppressAutoHyphens w:val="true"/>
              <w:spacing w:before="0" w:after="0"/>
              <w:ind w:left="0" w:right="0" w:hanging="0"/>
              <w:jc w:val="center"/>
              <w:rPr>
                <w:sz w:val="20"/>
              </w:rPr>
            </w:pPr>
            <w:r>
              <w:rPr>
                <w:sz w:val="20"/>
              </w:rPr>
            </w:r>
          </w:p>
        </w:tc>
        <w:tc>
          <w:tcPr>
            <w:tcW w:w="6150" w:type="dxa"/>
            <w:gridSpan w:val="3"/>
            <w:tcBorders/>
          </w:tcPr>
          <w:p>
            <w:pPr>
              <w:pStyle w:val="Normal"/>
              <w:widowControl w:val="false"/>
              <w:suppressAutoHyphens w:val="true"/>
              <w:spacing w:before="0" w:after="0"/>
              <w:ind w:left="0" w:right="0" w:hanging="0"/>
              <w:jc w:val="both"/>
              <w:rPr/>
            </w:pPr>
            <w:r>
              <w:rPr>
                <w:b/>
                <w:sz w:val="20"/>
                <w:szCs w:val="20"/>
                <w:lang w:val="ru-RU" w:eastAsia="ru-RU"/>
              </w:rPr>
              <w:t>Требования к персоналу исполнителя</w:t>
            </w:r>
          </w:p>
        </w:tc>
        <w:tc>
          <w:tcPr>
            <w:tcW w:w="2652" w:type="dxa"/>
            <w:gridSpan w:val="2"/>
            <w:tcBorders/>
          </w:tcPr>
          <w:p>
            <w:pPr>
              <w:pStyle w:val="Normal"/>
              <w:widowControl w:val="false"/>
              <w:suppressAutoHyphens w:val="true"/>
              <w:spacing w:before="0" w:after="0"/>
              <w:ind w:left="0" w:right="0" w:hanging="0"/>
              <w:jc w:val="center"/>
              <w:rPr/>
            </w:pPr>
            <w:r>
              <w:rPr>
                <w:sz w:val="20"/>
                <w:szCs w:val="20"/>
                <w:lang w:val="ru-RU" w:eastAsia="ru-RU"/>
              </w:rPr>
              <w:t>-//-</w:t>
            </w:r>
          </w:p>
        </w:tc>
        <w:tc>
          <w:tcPr>
            <w:tcW w:w="2880"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640" w:type="dxa"/>
            <w:tcBorders/>
          </w:tcPr>
          <w:p>
            <w:pPr>
              <w:pStyle w:val="Normal"/>
              <w:widowControl w:val="false"/>
              <w:suppressAutoHyphens w:val="true"/>
              <w:spacing w:before="0" w:after="0"/>
              <w:ind w:left="0" w:right="0" w:hanging="0"/>
              <w:rPr/>
            </w:pPr>
            <w:r>
              <w:rPr>
                <w:b/>
                <w:sz w:val="20"/>
                <w:szCs w:val="20"/>
                <w:lang w:val="ru-RU" w:eastAsia="ru-RU"/>
              </w:rPr>
              <w:t>-//-</w:t>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6150" w:type="dxa"/>
            <w:gridSpan w:val="3"/>
            <w:tcBorders/>
          </w:tcPr>
          <w:p>
            <w:pPr>
              <w:pStyle w:val="Normal"/>
              <w:widowControl w:val="false"/>
              <w:suppressAutoHyphens w:val="true"/>
              <w:spacing w:before="0" w:after="0"/>
              <w:ind w:left="0" w:right="0" w:hanging="0"/>
              <w:jc w:val="both"/>
              <w:rPr/>
            </w:pPr>
            <w:r>
              <w:rPr>
                <w:sz w:val="20"/>
                <w:szCs w:val="20"/>
                <w:lang w:val="ru-RU" w:eastAsia="ru-RU"/>
              </w:rPr>
              <w:t>Исполнитель должен иметь собственный или привлеченный (по трудовым договорам) квалифицированный персонал.</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0" w:type="dxa"/>
            <w:gridSpan w:val="2"/>
            <w:tcBorders/>
          </w:tcPr>
          <w:p>
            <w:pPr>
              <w:pStyle w:val="Normal"/>
              <w:widowControl w:val="false"/>
              <w:suppressAutoHyphens w:val="true"/>
              <w:spacing w:before="0" w:after="0"/>
              <w:ind w:left="0" w:right="0" w:hanging="0"/>
              <w:jc w:val="center"/>
              <w:rPr>
                <w:b/>
                <w:sz w:val="20"/>
              </w:rPr>
            </w:pPr>
            <w:r>
              <w:rPr>
                <w:b/>
                <w:sz w:val="20"/>
              </w:rPr>
            </w:r>
          </w:p>
        </w:tc>
        <w:tc>
          <w:tcPr>
            <w:tcW w:w="2640" w:type="dxa"/>
            <w:tcBorders/>
          </w:tcPr>
          <w:p>
            <w:pPr>
              <w:pStyle w:val="Normal"/>
              <w:widowControl w:val="false"/>
              <w:suppressAutoHyphens w:val="true"/>
              <w:spacing w:before="0" w:after="0"/>
              <w:ind w:left="0" w:right="0" w:hanging="0"/>
              <w:rPr>
                <w:b/>
                <w:sz w:val="20"/>
              </w:rPr>
            </w:pPr>
            <w:r>
              <w:rPr>
                <w:b/>
                <w:sz w:val="20"/>
              </w:rPr>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b/>
                <w:bCs/>
                <w:sz w:val="20"/>
                <w:szCs w:val="20"/>
                <w:lang w:val="ru-RU" w:eastAsia="ru-RU"/>
              </w:rPr>
              <w:t>Требования к результатам у</w:t>
            </w:r>
            <w:r>
              <w:rPr>
                <w:b/>
                <w:sz w:val="20"/>
                <w:szCs w:val="20"/>
                <w:lang w:val="ru-RU" w:eastAsia="ru-RU"/>
              </w:rPr>
              <w:t>слуг</w:t>
            </w:r>
          </w:p>
        </w:tc>
        <w:tc>
          <w:tcPr>
            <w:tcW w:w="2652" w:type="dxa"/>
            <w:gridSpan w:val="2"/>
            <w:tcBorders/>
          </w:tcPr>
          <w:p>
            <w:pPr>
              <w:pStyle w:val="Normal"/>
              <w:widowControl w:val="false"/>
              <w:suppressAutoHyphens w:val="true"/>
              <w:spacing w:before="0" w:after="0"/>
              <w:ind w:left="0" w:right="0" w:hanging="0"/>
              <w:jc w:val="center"/>
              <w:rPr/>
            </w:pPr>
            <w:r>
              <w:rPr>
                <w:sz w:val="20"/>
                <w:szCs w:val="20"/>
                <w:lang w:val="ru-RU" w:eastAsia="ru-RU"/>
              </w:rPr>
              <w:t>-//-</w:t>
            </w:r>
          </w:p>
        </w:tc>
        <w:tc>
          <w:tcPr>
            <w:tcW w:w="2880"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640" w:type="dxa"/>
            <w:tcBorders/>
          </w:tcPr>
          <w:p>
            <w:pPr>
              <w:pStyle w:val="Normal"/>
              <w:widowControl w:val="false"/>
              <w:suppressAutoHyphens w:val="true"/>
              <w:spacing w:before="0" w:after="0"/>
              <w:ind w:left="0" w:right="0" w:hanging="0"/>
              <w:rPr/>
            </w:pPr>
            <w:r>
              <w:rPr>
                <w:b/>
                <w:sz w:val="20"/>
                <w:szCs w:val="20"/>
                <w:lang w:val="ru-RU" w:eastAsia="ru-RU"/>
              </w:rPr>
              <w:t>-//-</w:t>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0"/>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b/>
                <w:bCs/>
                <w:sz w:val="20"/>
                <w:szCs w:val="20"/>
                <w:lang w:val="ru-RU" w:eastAsia="ru-RU"/>
              </w:rPr>
              <w:t>Общие требования к результатам услуг</w:t>
            </w:r>
          </w:p>
        </w:tc>
        <w:tc>
          <w:tcPr>
            <w:tcW w:w="2652" w:type="dxa"/>
            <w:gridSpan w:val="2"/>
            <w:tcBorders/>
          </w:tcPr>
          <w:p>
            <w:pPr>
              <w:pStyle w:val="Normal"/>
              <w:widowControl w:val="false"/>
              <w:suppressAutoHyphens w:val="true"/>
              <w:spacing w:before="0" w:after="0"/>
              <w:ind w:left="0" w:right="0" w:hanging="0"/>
              <w:jc w:val="center"/>
              <w:rPr/>
            </w:pPr>
            <w:r>
              <w:rPr>
                <w:sz w:val="20"/>
                <w:szCs w:val="20"/>
                <w:lang w:val="ru-RU" w:eastAsia="ru-RU"/>
              </w:rPr>
              <w:t>-//-</w:t>
            </w:r>
          </w:p>
        </w:tc>
        <w:tc>
          <w:tcPr>
            <w:tcW w:w="2880"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640" w:type="dxa"/>
            <w:tcBorders/>
          </w:tcPr>
          <w:p>
            <w:pPr>
              <w:pStyle w:val="Normal"/>
              <w:widowControl w:val="false"/>
              <w:suppressAutoHyphens w:val="true"/>
              <w:spacing w:before="0" w:after="0"/>
              <w:ind w:left="0" w:right="0" w:hanging="0"/>
              <w:rPr/>
            </w:pPr>
            <w:r>
              <w:rPr>
                <w:b/>
                <w:sz w:val="20"/>
                <w:szCs w:val="20"/>
                <w:lang w:val="ru-RU" w:eastAsia="ru-RU"/>
              </w:rPr>
              <w:t>-//-</w:t>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1"/>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sz w:val="20"/>
                <w:szCs w:val="20"/>
                <w:lang w:val="ru-RU" w:eastAsia="ru-RU"/>
              </w:rPr>
              <w:t>Услуги оказываются в таком объёме, который позволяет продолжать эксплуатацию объекта без закупки Заказчиком дополнительных объёмов каких-либо материалов, оборудования и услуг. Услуги считаются оказанными после приёмки услуг комиссией филиала, с оформлением отчётной документации со стороны Исполнителя.</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0" w:type="dxa"/>
            <w:gridSpan w:val="2"/>
            <w:tcBorders/>
          </w:tcPr>
          <w:p>
            <w:pPr>
              <w:pStyle w:val="Normal"/>
              <w:widowControl w:val="false"/>
              <w:suppressAutoHyphens w:val="true"/>
              <w:spacing w:before="0" w:after="0"/>
              <w:ind w:left="0" w:right="0" w:hanging="0"/>
              <w:jc w:val="center"/>
              <w:rPr>
                <w:b/>
                <w:sz w:val="20"/>
              </w:rPr>
            </w:pPr>
            <w:r>
              <w:rPr>
                <w:b/>
                <w:sz w:val="20"/>
              </w:rPr>
            </w:r>
          </w:p>
        </w:tc>
        <w:tc>
          <w:tcPr>
            <w:tcW w:w="2640" w:type="dxa"/>
            <w:tcBorders/>
          </w:tcPr>
          <w:p>
            <w:pPr>
              <w:pStyle w:val="Normal"/>
              <w:widowControl w:val="false"/>
              <w:suppressAutoHyphens w:val="true"/>
              <w:spacing w:before="0" w:after="0"/>
              <w:ind w:left="0" w:right="0" w:hanging="0"/>
              <w:rPr>
                <w:b/>
                <w:sz w:val="20"/>
              </w:rPr>
            </w:pPr>
            <w:r>
              <w:rPr>
                <w:b/>
                <w:sz w:val="20"/>
              </w:rPr>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b/>
                <w:sz w:val="20"/>
                <w:szCs w:val="20"/>
                <w:lang w:val="ru-RU" w:eastAsia="ru-RU"/>
              </w:rPr>
              <w:t>Требования к безопасности использования результата оказания услуг</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w:t>
            </w:r>
          </w:p>
        </w:tc>
        <w:tc>
          <w:tcPr>
            <w:tcW w:w="2880"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640" w:type="dxa"/>
            <w:tcBorders/>
          </w:tcPr>
          <w:p>
            <w:pPr>
              <w:pStyle w:val="Normal"/>
              <w:widowControl w:val="false"/>
              <w:suppressAutoHyphens w:val="true"/>
              <w:spacing w:before="0" w:after="0"/>
              <w:ind w:left="0" w:right="0" w:hanging="0"/>
              <w:rPr/>
            </w:pPr>
            <w:r>
              <w:rPr>
                <w:b/>
                <w:sz w:val="20"/>
                <w:szCs w:val="20"/>
                <w:lang w:val="ru-RU" w:eastAsia="ru-RU"/>
              </w:rPr>
              <w:t>-//-</w:t>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1"/>
                <w:numId w:val="2"/>
              </w:numPr>
              <w:suppressAutoHyphens w:val="true"/>
              <w:spacing w:before="0" w:after="0"/>
              <w:ind w:left="0" w:right="0" w:hanging="0"/>
              <w:jc w:val="center"/>
              <w:rPr>
                <w:sz w:val="20"/>
              </w:rPr>
            </w:pPr>
            <w:r>
              <w:rPr>
                <w:sz w:val="20"/>
              </w:rPr>
            </w:r>
          </w:p>
        </w:tc>
        <w:tc>
          <w:tcPr>
            <w:tcW w:w="6150" w:type="dxa"/>
            <w:gridSpan w:val="3"/>
            <w:tcBorders/>
          </w:tcPr>
          <w:p>
            <w:pPr>
              <w:pStyle w:val="Normal"/>
              <w:widowControl w:val="false"/>
              <w:suppressAutoHyphens w:val="true"/>
              <w:spacing w:before="0" w:after="0"/>
              <w:ind w:left="0" w:right="0" w:hanging="0"/>
              <w:jc w:val="both"/>
              <w:rPr/>
            </w:pPr>
            <w:r>
              <w:rPr>
                <w:sz w:val="20"/>
                <w:szCs w:val="20"/>
                <w:lang w:val="ru-RU" w:eastAsia="ru-RU"/>
              </w:rPr>
              <w:t>Исполнитель несет полную ответственность за безопасное оказание услуг.</w:t>
            </w:r>
          </w:p>
          <w:p>
            <w:pPr>
              <w:pStyle w:val="Normal"/>
              <w:widowControl w:val="false"/>
              <w:suppressAutoHyphens w:val="true"/>
              <w:spacing w:before="0" w:after="0"/>
              <w:ind w:left="0" w:right="0" w:hanging="0"/>
              <w:jc w:val="both"/>
              <w:rPr/>
            </w:pPr>
            <w:r>
              <w:rPr>
                <w:sz w:val="20"/>
                <w:szCs w:val="20"/>
                <w:lang w:val="ru-RU" w:eastAsia="ru-RU"/>
              </w:rPr>
              <w:t>При оказании услуг Исполнитель должен обеспечить безопасность собственного персонала, жизни, здоровья потребителей услуг и сохранность их имущества, а также соблюдать санитарно-эпидемиологические нормы.</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0" w:type="dxa"/>
            <w:gridSpan w:val="2"/>
            <w:tcBorders/>
          </w:tcPr>
          <w:p>
            <w:pPr>
              <w:pStyle w:val="Normal"/>
              <w:widowControl w:val="false"/>
              <w:suppressAutoHyphens w:val="true"/>
              <w:spacing w:before="0" w:after="0"/>
              <w:ind w:left="0" w:right="0" w:hanging="0"/>
              <w:jc w:val="center"/>
              <w:rPr>
                <w:b/>
                <w:sz w:val="20"/>
              </w:rPr>
            </w:pPr>
            <w:r>
              <w:rPr>
                <w:b/>
                <w:sz w:val="20"/>
              </w:rPr>
            </w:r>
          </w:p>
        </w:tc>
        <w:tc>
          <w:tcPr>
            <w:tcW w:w="2640" w:type="dxa"/>
            <w:tcBorders/>
          </w:tcPr>
          <w:p>
            <w:pPr>
              <w:pStyle w:val="Normal"/>
              <w:widowControl w:val="false"/>
              <w:suppressAutoHyphens w:val="true"/>
              <w:spacing w:before="0" w:after="0"/>
              <w:ind w:left="0" w:right="0" w:hanging="0"/>
              <w:rPr>
                <w:b/>
                <w:sz w:val="20"/>
              </w:rPr>
            </w:pPr>
            <w:r>
              <w:rPr>
                <w:b/>
                <w:sz w:val="20"/>
              </w:rPr>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b/>
                <w:bCs/>
                <w:sz w:val="20"/>
                <w:szCs w:val="20"/>
                <w:lang w:val="ru-RU" w:eastAsia="ru-RU"/>
              </w:rPr>
              <w:t>Требования к приемке результата оказания у</w:t>
            </w:r>
            <w:r>
              <w:rPr>
                <w:b/>
                <w:sz w:val="20"/>
                <w:szCs w:val="20"/>
                <w:lang w:val="ru-RU" w:eastAsia="ru-RU"/>
              </w:rPr>
              <w:t>слуг</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w:t>
            </w:r>
          </w:p>
        </w:tc>
        <w:tc>
          <w:tcPr>
            <w:tcW w:w="2880"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640" w:type="dxa"/>
            <w:tcBorders/>
          </w:tcPr>
          <w:p>
            <w:pPr>
              <w:pStyle w:val="Normal"/>
              <w:widowControl w:val="false"/>
              <w:suppressAutoHyphens w:val="true"/>
              <w:spacing w:before="0" w:after="0"/>
              <w:ind w:left="0" w:right="0" w:hanging="0"/>
              <w:rPr/>
            </w:pPr>
            <w:r>
              <w:rPr>
                <w:b/>
                <w:sz w:val="20"/>
                <w:szCs w:val="20"/>
                <w:lang w:val="ru-RU" w:eastAsia="ru-RU"/>
              </w:rPr>
              <w:t>-//-</w:t>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1"/>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bCs/>
                <w:sz w:val="20"/>
                <w:szCs w:val="20"/>
                <w:lang w:val="ru-RU" w:eastAsia="ru-RU"/>
              </w:rPr>
              <w:t>Исполнитель оформляет отчетную и исполнительную документацию в соответствии с требованиями ГОСТ Р 57368-2016 "Сохранение произведений ландшафтной архитектуры и садово-паркового искусства. Общие требования" (утв. приказом Федерального агентства по техническому регулированию и метрологии от 23 декабря 2016 г. N 2069-ст).</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0" w:type="dxa"/>
            <w:gridSpan w:val="2"/>
            <w:tcBorders/>
          </w:tcPr>
          <w:p>
            <w:pPr>
              <w:pStyle w:val="Normal"/>
              <w:widowControl w:val="false"/>
              <w:suppressAutoHyphens w:val="true"/>
              <w:spacing w:before="0" w:after="0"/>
              <w:ind w:left="0" w:right="0" w:hanging="0"/>
              <w:jc w:val="center"/>
              <w:rPr>
                <w:b/>
                <w:sz w:val="20"/>
              </w:rPr>
            </w:pPr>
            <w:r>
              <w:rPr>
                <w:b/>
                <w:sz w:val="20"/>
              </w:rPr>
            </w:r>
          </w:p>
        </w:tc>
        <w:tc>
          <w:tcPr>
            <w:tcW w:w="2640" w:type="dxa"/>
            <w:tcBorders/>
          </w:tcPr>
          <w:p>
            <w:pPr>
              <w:pStyle w:val="Normal"/>
              <w:widowControl w:val="false"/>
              <w:suppressAutoHyphens w:val="true"/>
              <w:spacing w:before="0" w:after="0"/>
              <w:ind w:left="0" w:right="0" w:hanging="0"/>
              <w:rPr>
                <w:b/>
                <w:sz w:val="20"/>
              </w:rPr>
            </w:pPr>
            <w:r>
              <w:rPr>
                <w:b/>
                <w:sz w:val="20"/>
              </w:rPr>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b/>
                <w:sz w:val="20"/>
                <w:szCs w:val="20"/>
                <w:lang w:val="ru-RU" w:eastAsia="ru-RU"/>
              </w:rPr>
              <w:t>Требования к документации, описывающей результат оказания услуг</w:t>
            </w:r>
          </w:p>
        </w:tc>
        <w:tc>
          <w:tcPr>
            <w:tcW w:w="2652" w:type="dxa"/>
            <w:gridSpan w:val="2"/>
            <w:tcBorders/>
          </w:tcPr>
          <w:p>
            <w:pPr>
              <w:pStyle w:val="Normal"/>
              <w:widowControl w:val="false"/>
              <w:suppressAutoHyphens w:val="true"/>
              <w:spacing w:before="0" w:after="0"/>
              <w:ind w:left="0" w:right="0" w:hanging="0"/>
              <w:jc w:val="center"/>
              <w:rPr/>
            </w:pPr>
            <w:r>
              <w:rPr>
                <w:sz w:val="20"/>
                <w:szCs w:val="20"/>
                <w:lang w:val="ru-RU" w:eastAsia="ru-RU"/>
              </w:rPr>
              <w:t>-//-</w:t>
            </w:r>
          </w:p>
        </w:tc>
        <w:tc>
          <w:tcPr>
            <w:tcW w:w="2880"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640" w:type="dxa"/>
            <w:tcBorders/>
          </w:tcPr>
          <w:p>
            <w:pPr>
              <w:pStyle w:val="Normal"/>
              <w:widowControl w:val="false"/>
              <w:suppressAutoHyphens w:val="true"/>
              <w:spacing w:before="0" w:after="0"/>
              <w:ind w:left="0" w:right="0" w:hanging="0"/>
              <w:rPr/>
            </w:pPr>
            <w:r>
              <w:rPr>
                <w:b/>
                <w:sz w:val="20"/>
                <w:szCs w:val="20"/>
                <w:lang w:val="ru-RU" w:eastAsia="ru-RU"/>
              </w:rPr>
              <w:t>-//-</w:t>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1"/>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bCs/>
                <w:sz w:val="20"/>
                <w:szCs w:val="20"/>
                <w:u w:val="single"/>
                <w:lang w:val="ru-RU" w:eastAsia="ru-RU"/>
              </w:rPr>
              <w:t>Посадка саженцев (лесовосстановление):</w:t>
            </w:r>
          </w:p>
          <w:p>
            <w:pPr>
              <w:pStyle w:val="Normal"/>
              <w:widowControl w:val="false"/>
              <w:suppressAutoHyphens w:val="true"/>
              <w:spacing w:before="0" w:after="0"/>
              <w:ind w:left="0" w:right="0" w:hanging="0"/>
              <w:jc w:val="both"/>
              <w:rPr/>
            </w:pPr>
            <w:r>
              <w:rPr>
                <w:bCs/>
                <w:sz w:val="20"/>
                <w:szCs w:val="20"/>
                <w:lang w:val="ru-RU" w:eastAsia="ru-RU"/>
              </w:rPr>
              <w:t>- отчет о воспроизводстве лесов (по форме 1-ВЛ) на электронном и бумажном носителе в 1 экз.;</w:t>
            </w:r>
          </w:p>
          <w:p>
            <w:pPr>
              <w:pStyle w:val="Normal"/>
              <w:widowControl w:val="false"/>
              <w:suppressAutoHyphens w:val="true"/>
              <w:spacing w:before="0" w:after="0"/>
              <w:ind w:left="0" w:right="0" w:hanging="0"/>
              <w:jc w:val="both"/>
              <w:rPr/>
            </w:pPr>
            <w:r>
              <w:rPr>
                <w:bCs/>
                <w:sz w:val="20"/>
                <w:szCs w:val="20"/>
                <w:lang w:val="ru-RU" w:eastAsia="ru-RU"/>
              </w:rPr>
              <w:t>- фотоматериалы на электронном носителе в 1 экз.;</w:t>
            </w:r>
          </w:p>
          <w:p>
            <w:pPr>
              <w:pStyle w:val="Normal"/>
              <w:widowControl w:val="false"/>
              <w:suppressAutoHyphens w:val="true"/>
              <w:spacing w:before="0" w:after="0"/>
              <w:ind w:left="0" w:right="0" w:hanging="0"/>
              <w:jc w:val="both"/>
              <w:rPr/>
            </w:pPr>
            <w:r>
              <w:rPr>
                <w:bCs/>
                <w:sz w:val="20"/>
                <w:szCs w:val="20"/>
                <w:lang w:val="ru-RU" w:eastAsia="ru-RU"/>
              </w:rPr>
              <w:t>- акт по осуществлению контроля по воспроизводству лесов, подписанный с Министерством природных ресурсов, экологии и охраны окружающей среды Республики Марий Эл на бумажном носителе в 1 экз.</w:t>
            </w:r>
          </w:p>
          <w:p>
            <w:pPr>
              <w:pStyle w:val="Normal"/>
              <w:widowControl w:val="false"/>
              <w:suppressAutoHyphens w:val="true"/>
              <w:spacing w:before="0" w:after="0"/>
              <w:ind w:left="0" w:right="0" w:hanging="0"/>
              <w:jc w:val="both"/>
              <w:rPr/>
            </w:pPr>
            <w:r>
              <w:rPr>
                <w:bCs/>
                <w:sz w:val="20"/>
                <w:szCs w:val="20"/>
                <w:u w:val="single"/>
                <w:lang w:val="ru-RU" w:eastAsia="ru-RU"/>
              </w:rPr>
              <w:t>Уход за саженцами:</w:t>
            </w:r>
          </w:p>
          <w:p>
            <w:pPr>
              <w:pStyle w:val="Normal"/>
              <w:widowControl w:val="false"/>
              <w:suppressAutoHyphens w:val="true"/>
              <w:spacing w:before="0" w:after="0"/>
              <w:ind w:left="0" w:right="0" w:hanging="0"/>
              <w:jc w:val="both"/>
              <w:rPr/>
            </w:pPr>
            <w:r>
              <w:rPr>
                <w:bCs/>
                <w:sz w:val="20"/>
                <w:szCs w:val="20"/>
                <w:lang w:val="ru-RU" w:eastAsia="ru-RU"/>
              </w:rPr>
              <w:t>- акт об оказании Услуг на бумажном носителе в 2 экз.;</w:t>
            </w:r>
          </w:p>
          <w:p>
            <w:pPr>
              <w:pStyle w:val="Normal"/>
              <w:widowControl w:val="false"/>
              <w:suppressAutoHyphens w:val="true"/>
              <w:spacing w:before="0" w:after="0"/>
              <w:ind w:left="0" w:right="0" w:hanging="0"/>
              <w:jc w:val="both"/>
              <w:rPr/>
            </w:pPr>
            <w:r>
              <w:rPr>
                <w:bCs/>
                <w:sz w:val="20"/>
                <w:szCs w:val="20"/>
                <w:lang w:val="ru-RU" w:eastAsia="ru-RU"/>
              </w:rPr>
              <w:t>- отчет о воспроизводстве лесов (по форме 1-ВЛ) на электронном и бумажном носителе в 1 экз.;</w:t>
            </w:r>
          </w:p>
          <w:p>
            <w:pPr>
              <w:pStyle w:val="Normal"/>
              <w:widowControl w:val="false"/>
              <w:suppressAutoHyphens w:val="true"/>
              <w:spacing w:before="0" w:after="0"/>
              <w:ind w:left="0" w:right="0" w:hanging="0"/>
              <w:jc w:val="both"/>
              <w:rPr/>
            </w:pPr>
            <w:r>
              <w:rPr>
                <w:bCs/>
                <w:sz w:val="20"/>
                <w:szCs w:val="20"/>
                <w:lang w:val="ru-RU" w:eastAsia="ru-RU"/>
              </w:rPr>
              <w:t>- фотоматериалы на электронном носителе в 1 экз.;</w:t>
            </w:r>
          </w:p>
          <w:p>
            <w:pPr>
              <w:pStyle w:val="Normal"/>
              <w:widowControl w:val="false"/>
              <w:suppressAutoHyphens w:val="true"/>
              <w:spacing w:before="0" w:after="0"/>
              <w:ind w:left="0" w:right="0" w:hanging="0"/>
              <w:jc w:val="both"/>
              <w:rPr/>
            </w:pPr>
            <w:r>
              <w:rPr>
                <w:bCs/>
                <w:sz w:val="20"/>
                <w:szCs w:val="20"/>
                <w:lang w:val="ru-RU" w:eastAsia="ru-RU"/>
              </w:rPr>
              <w:t>- акт по осуществлению контроля по воспроизводству лесов, подписанный с Министерством природных ресурсов, экологии и охраны окружающей среды Республики Марий Эл на бумажном носителе в 1 экз.</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0" w:type="dxa"/>
            <w:gridSpan w:val="2"/>
            <w:tcBorders/>
          </w:tcPr>
          <w:p>
            <w:pPr>
              <w:pStyle w:val="Normal"/>
              <w:widowControl w:val="false"/>
              <w:suppressAutoHyphens w:val="true"/>
              <w:spacing w:before="0" w:after="0"/>
              <w:ind w:left="0" w:right="0" w:hanging="0"/>
              <w:jc w:val="center"/>
              <w:rPr>
                <w:b/>
                <w:sz w:val="20"/>
              </w:rPr>
            </w:pPr>
            <w:r>
              <w:rPr>
                <w:b/>
                <w:sz w:val="20"/>
              </w:rPr>
            </w:r>
          </w:p>
        </w:tc>
        <w:tc>
          <w:tcPr>
            <w:tcW w:w="2640" w:type="dxa"/>
            <w:tcBorders/>
          </w:tcPr>
          <w:p>
            <w:pPr>
              <w:pStyle w:val="Normal"/>
              <w:widowControl w:val="false"/>
              <w:suppressAutoHyphens w:val="true"/>
              <w:spacing w:before="0" w:after="0"/>
              <w:ind w:left="0" w:right="0" w:hanging="0"/>
              <w:rPr>
                <w:b/>
                <w:sz w:val="20"/>
              </w:rPr>
            </w:pPr>
            <w:r>
              <w:rPr>
                <w:b/>
                <w:sz w:val="20"/>
              </w:rPr>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2"/>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b/>
                <w:sz w:val="20"/>
                <w:szCs w:val="20"/>
                <w:lang w:val="ru-RU" w:eastAsia="ru-RU"/>
              </w:rPr>
              <w:t>Требования к соблюдению положений нормативной и иной обязательной для исполнителя документации, определяемой видами услуг (помимо указанных в других разделах ТТ)</w:t>
            </w:r>
          </w:p>
        </w:tc>
        <w:tc>
          <w:tcPr>
            <w:tcW w:w="2652" w:type="dxa"/>
            <w:gridSpan w:val="2"/>
            <w:tcBorders/>
          </w:tcPr>
          <w:p>
            <w:pPr>
              <w:pStyle w:val="Normal"/>
              <w:widowControl w:val="false"/>
              <w:suppressAutoHyphens w:val="true"/>
              <w:spacing w:before="0" w:after="0"/>
              <w:ind w:left="0" w:right="0" w:hanging="0"/>
              <w:jc w:val="center"/>
              <w:rPr/>
            </w:pPr>
            <w:r>
              <w:rPr>
                <w:sz w:val="20"/>
                <w:szCs w:val="20"/>
                <w:lang w:val="ru-RU" w:eastAsia="ru-RU"/>
              </w:rPr>
              <w:t>-//-</w:t>
            </w:r>
          </w:p>
        </w:tc>
        <w:tc>
          <w:tcPr>
            <w:tcW w:w="2880" w:type="dxa"/>
            <w:gridSpan w:val="2"/>
            <w:tcBorders/>
          </w:tcPr>
          <w:p>
            <w:pPr>
              <w:pStyle w:val="Normal"/>
              <w:widowControl w:val="false"/>
              <w:suppressAutoHyphens w:val="true"/>
              <w:spacing w:before="0" w:after="0"/>
              <w:ind w:left="0" w:right="0" w:hanging="0"/>
              <w:jc w:val="center"/>
              <w:rPr/>
            </w:pPr>
            <w:r>
              <w:rPr>
                <w:b/>
                <w:sz w:val="20"/>
                <w:szCs w:val="20"/>
                <w:lang w:val="ru-RU" w:eastAsia="ru-RU"/>
              </w:rPr>
              <w:t>-//-</w:t>
            </w:r>
          </w:p>
        </w:tc>
        <w:tc>
          <w:tcPr>
            <w:tcW w:w="2640" w:type="dxa"/>
            <w:tcBorders/>
          </w:tcPr>
          <w:p>
            <w:pPr>
              <w:pStyle w:val="Normal"/>
              <w:widowControl w:val="false"/>
              <w:suppressAutoHyphens w:val="true"/>
              <w:spacing w:before="0" w:after="0"/>
              <w:ind w:left="0" w:right="0" w:hanging="0"/>
              <w:rPr/>
            </w:pPr>
            <w:r>
              <w:rPr>
                <w:b/>
                <w:sz w:val="20"/>
                <w:szCs w:val="20"/>
                <w:lang w:val="ru-RU" w:eastAsia="ru-RU"/>
              </w:rPr>
              <w:t>-//-</w:t>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r>
        <w:trPr>
          <w:trHeight w:val="20" w:hRule="atLeast"/>
        </w:trPr>
        <w:tc>
          <w:tcPr>
            <w:tcW w:w="845" w:type="dxa"/>
            <w:tcBorders/>
            <w:vAlign w:val="center"/>
          </w:tcPr>
          <w:p>
            <w:pPr>
              <w:pStyle w:val="Normal"/>
              <w:widowControl w:val="false"/>
              <w:numPr>
                <w:ilvl w:val="0"/>
                <w:numId w:val="2"/>
              </w:numPr>
              <w:suppressAutoHyphens w:val="true"/>
              <w:spacing w:before="0" w:after="0"/>
              <w:ind w:left="0" w:right="0" w:hanging="0"/>
              <w:jc w:val="center"/>
              <w:rPr>
                <w:sz w:val="20"/>
              </w:rPr>
            </w:pPr>
            <w:r>
              <w:rPr>
                <w:sz w:val="20"/>
              </w:rPr>
            </w:r>
          </w:p>
        </w:tc>
        <w:tc>
          <w:tcPr>
            <w:tcW w:w="6150" w:type="dxa"/>
            <w:gridSpan w:val="3"/>
            <w:tcBorders/>
            <w:vAlign w:val="center"/>
          </w:tcPr>
          <w:p>
            <w:pPr>
              <w:pStyle w:val="Normal"/>
              <w:widowControl w:val="false"/>
              <w:suppressAutoHyphens w:val="true"/>
              <w:spacing w:before="0" w:after="0"/>
              <w:ind w:left="0" w:right="0" w:hanging="0"/>
              <w:jc w:val="both"/>
              <w:rPr/>
            </w:pPr>
            <w:r>
              <w:rPr>
                <w:bCs/>
                <w:sz w:val="20"/>
                <w:szCs w:val="20"/>
                <w:lang w:val="ru-RU" w:eastAsia="ru-RU"/>
              </w:rPr>
              <w:t>- Приказ Минтруда России от 23.09.2020 N 644н "Об утверждении Правил по охране труда в лесозаготовительном, деревообрабатывающем производствах и при выполнении лесохозяйственных работ" (Зарегистрировано в Минюсте России 30.12.2020 N 61950)</w:t>
            </w:r>
          </w:p>
          <w:p>
            <w:pPr>
              <w:pStyle w:val="Normal"/>
              <w:widowControl w:val="false"/>
              <w:suppressAutoHyphens w:val="true"/>
              <w:spacing w:before="0" w:after="0"/>
              <w:ind w:left="0" w:right="0" w:hanging="0"/>
              <w:jc w:val="both"/>
              <w:rPr/>
            </w:pPr>
            <w:r>
              <w:rPr>
                <w:bCs/>
                <w:sz w:val="20"/>
                <w:szCs w:val="20"/>
                <w:lang w:val="ru-RU" w:eastAsia="ru-RU"/>
              </w:rPr>
              <w:t>- Указ Президента Российской Федерации от 07.05.2018 № 204 «О национальных целях и стратегических задачах развития Российской Федерации на период до 2024 года»</w:t>
            </w:r>
          </w:p>
          <w:p>
            <w:pPr>
              <w:pStyle w:val="Normal"/>
              <w:widowControl w:val="false"/>
              <w:suppressAutoHyphens w:val="true"/>
              <w:spacing w:before="0" w:after="0"/>
              <w:ind w:left="0" w:right="0" w:hanging="0"/>
              <w:jc w:val="both"/>
              <w:rPr/>
            </w:pPr>
            <w:r>
              <w:rPr>
                <w:bCs/>
                <w:sz w:val="20"/>
                <w:szCs w:val="20"/>
                <w:lang w:val="ru-RU" w:eastAsia="ru-RU"/>
              </w:rPr>
              <w:t>- Постановление Правительства РФ от 29.04.2013 N 380 «Об утверждении Положения о мерах по сохранению водных биологических ресурсов и среды их обитания»</w:t>
            </w:r>
          </w:p>
          <w:p>
            <w:pPr>
              <w:pStyle w:val="Normal"/>
              <w:widowControl w:val="false"/>
              <w:suppressAutoHyphens w:val="true"/>
              <w:spacing w:before="0" w:after="0"/>
              <w:ind w:left="0" w:right="0" w:hanging="0"/>
              <w:jc w:val="both"/>
              <w:rPr/>
            </w:pPr>
            <w:r>
              <w:rPr>
                <w:bCs/>
                <w:sz w:val="20"/>
                <w:szCs w:val="20"/>
                <w:lang w:val="ru-RU" w:eastAsia="ru-RU"/>
              </w:rPr>
              <w:t>- Паспорт национального проекта «Экология». Утвержден президиумом Совета при Президенте Российской Федерации по стратегическому развитию и национальным проектам (протокол от 24 декабря 2018 г. № 16)</w:t>
            </w:r>
          </w:p>
          <w:p>
            <w:pPr>
              <w:pStyle w:val="Normal"/>
              <w:widowControl w:val="false"/>
              <w:suppressAutoHyphens w:val="true"/>
              <w:spacing w:before="0" w:after="0"/>
              <w:ind w:left="0" w:right="0" w:hanging="0"/>
              <w:jc w:val="both"/>
              <w:rPr/>
            </w:pPr>
            <w:r>
              <w:rPr>
                <w:bCs/>
                <w:sz w:val="20"/>
                <w:szCs w:val="20"/>
                <w:lang w:val="ru-RU" w:eastAsia="ru-RU"/>
              </w:rPr>
              <w:t>- Паспорт федерального проекта "Сохранение уникальных водных объектов". Утвержден протоколом заседания проектного комитета по национальному проекту "Экология" от 21 декабря 2018 г. N 3.</w:t>
            </w:r>
          </w:p>
          <w:p>
            <w:pPr>
              <w:pStyle w:val="Normal"/>
              <w:widowControl w:val="false"/>
              <w:suppressAutoHyphens w:val="true"/>
              <w:spacing w:before="0" w:after="0"/>
              <w:ind w:left="0" w:right="0" w:hanging="0"/>
              <w:jc w:val="both"/>
              <w:rPr/>
            </w:pPr>
            <w:r>
              <w:rPr>
                <w:bCs/>
                <w:sz w:val="20"/>
                <w:szCs w:val="20"/>
                <w:lang w:val="ru-RU" w:eastAsia="ru-RU"/>
              </w:rPr>
              <w:t>- План деятельности Министерства природных ресурсов и экологии Российской Федерации на 2019 - 2024 годы" (утв. Минприроды России 28.06.2019 N 0010/12)</w:t>
            </w:r>
          </w:p>
          <w:p>
            <w:pPr>
              <w:pStyle w:val="Normal"/>
              <w:widowControl w:val="false"/>
              <w:suppressAutoHyphens w:val="true"/>
              <w:spacing w:before="0" w:after="0"/>
              <w:ind w:left="0" w:right="0" w:hanging="0"/>
              <w:jc w:val="both"/>
              <w:rPr/>
            </w:pPr>
            <w:r>
              <w:rPr>
                <w:bCs/>
                <w:sz w:val="20"/>
                <w:szCs w:val="20"/>
                <w:lang w:val="ru-RU" w:eastAsia="ru-RU"/>
              </w:rPr>
              <w:t>- «Правила по охране труда при работе с инструментом и приспособлениями» (утв. приказом Минтруда России от 27.11.2020 N 835н)</w:t>
            </w:r>
          </w:p>
          <w:p>
            <w:pPr>
              <w:pStyle w:val="Normal"/>
              <w:widowControl w:val="false"/>
              <w:suppressAutoHyphens w:val="true"/>
              <w:spacing w:before="0" w:after="0"/>
              <w:ind w:left="0" w:right="0" w:hanging="0"/>
              <w:jc w:val="both"/>
              <w:rPr/>
            </w:pPr>
            <w:r>
              <w:rPr>
                <w:bCs/>
                <w:sz w:val="20"/>
                <w:szCs w:val="20"/>
                <w:lang w:val="ru-RU" w:eastAsia="ru-RU"/>
              </w:rPr>
              <w:t>- «Правила противопожарного режима в Российской Федерации» (утверждены Постановлением Правительства РФ от 16.09.2020 N 1479)</w:t>
            </w:r>
          </w:p>
          <w:p>
            <w:pPr>
              <w:pStyle w:val="Normal"/>
              <w:widowControl w:val="false"/>
              <w:suppressAutoHyphens w:val="true"/>
              <w:spacing w:before="0" w:after="0"/>
              <w:ind w:left="0" w:right="0" w:hanging="0"/>
              <w:jc w:val="both"/>
              <w:rPr/>
            </w:pPr>
            <w:r>
              <w:rPr>
                <w:bCs/>
                <w:sz w:val="20"/>
                <w:szCs w:val="20"/>
                <w:lang w:val="ru-RU" w:eastAsia="ru-RU"/>
              </w:rPr>
              <w:t>-  "Правила безопасности опасных производственных объектов, на которых используются подъемные сооружения" (утверждены приказом Ростехнадзора от 26.11.2020 №461</w:t>
            </w:r>
          </w:p>
          <w:p>
            <w:pPr>
              <w:pStyle w:val="Normal"/>
              <w:widowControl w:val="false"/>
              <w:suppressAutoHyphens w:val="true"/>
              <w:spacing w:before="0" w:after="0"/>
              <w:ind w:left="0" w:right="0" w:hanging="0"/>
              <w:jc w:val="both"/>
              <w:rPr/>
            </w:pPr>
            <w:r>
              <w:rPr>
                <w:bCs/>
                <w:sz w:val="20"/>
                <w:szCs w:val="20"/>
                <w:lang w:val="ru-RU" w:eastAsia="ru-RU"/>
              </w:rPr>
              <w:t>- «Правила по охране труда при эксплуатации электроустановок» (утверждены приказом Минтруда РФ от 15.12.2020 №903н)</w:t>
            </w:r>
          </w:p>
          <w:p>
            <w:pPr>
              <w:pStyle w:val="Normal"/>
              <w:widowControl w:val="false"/>
              <w:suppressAutoHyphens w:val="true"/>
              <w:spacing w:before="0" w:after="0"/>
              <w:ind w:left="0" w:right="0" w:hanging="0"/>
              <w:jc w:val="both"/>
              <w:rPr/>
            </w:pPr>
            <w:r>
              <w:rPr>
                <w:bCs/>
                <w:sz w:val="20"/>
                <w:szCs w:val="20"/>
                <w:lang w:val="ru-RU" w:eastAsia="ru-RU"/>
              </w:rPr>
              <w:t>- «Правила по охране труда при погрузочно-разгрузочных работах и размещении грузов» (утв. приказом Минтруда России от 28.10.2020 N 753н)</w:t>
            </w:r>
          </w:p>
          <w:p>
            <w:pPr>
              <w:pStyle w:val="Normal"/>
              <w:widowControl w:val="false"/>
              <w:suppressAutoHyphens w:val="true"/>
              <w:spacing w:before="0" w:after="0"/>
              <w:ind w:left="0" w:right="0" w:hanging="0"/>
              <w:jc w:val="both"/>
              <w:rPr/>
            </w:pPr>
            <w:r>
              <w:rPr>
                <w:bCs/>
                <w:sz w:val="20"/>
                <w:szCs w:val="20"/>
                <w:lang w:val="ru-RU" w:eastAsia="ru-RU"/>
              </w:rPr>
              <w:t>- Гражданский кодекс РФ</w:t>
            </w:r>
          </w:p>
          <w:p>
            <w:pPr>
              <w:pStyle w:val="Normal"/>
              <w:widowControl w:val="false"/>
              <w:suppressAutoHyphens w:val="true"/>
              <w:spacing w:before="0" w:after="0"/>
              <w:ind w:left="0" w:right="0" w:hanging="0"/>
              <w:jc w:val="both"/>
              <w:rPr/>
            </w:pPr>
            <w:r>
              <w:rPr>
                <w:bCs/>
                <w:sz w:val="20"/>
                <w:szCs w:val="20"/>
                <w:lang w:val="ru-RU" w:eastAsia="ru-RU"/>
              </w:rPr>
              <w:t>- Федеральный закон 89-ФЗ "Об отходах производства и потребления"</w:t>
            </w:r>
          </w:p>
          <w:p>
            <w:pPr>
              <w:pStyle w:val="Normal"/>
              <w:widowControl w:val="false"/>
              <w:suppressAutoHyphens w:val="true"/>
              <w:spacing w:before="0" w:after="0"/>
              <w:ind w:left="0" w:right="0" w:hanging="0"/>
              <w:jc w:val="both"/>
              <w:rPr/>
            </w:pPr>
            <w:r>
              <w:rPr>
                <w:bCs/>
                <w:sz w:val="20"/>
                <w:szCs w:val="20"/>
                <w:lang w:val="ru-RU" w:eastAsia="ru-RU"/>
              </w:rPr>
              <w:t>-Лесной Кодекс РФ от 04.12.2006 N 200-ФЗ (ред. от 04.08.2023)</w:t>
            </w:r>
          </w:p>
          <w:p>
            <w:pPr>
              <w:pStyle w:val="Normal"/>
              <w:widowControl w:val="false"/>
              <w:suppressAutoHyphens w:val="true"/>
              <w:spacing w:before="0" w:after="0"/>
              <w:ind w:left="0" w:right="0" w:hanging="0"/>
              <w:jc w:val="both"/>
              <w:rPr/>
            </w:pPr>
            <w:r>
              <w:rPr>
                <w:bCs/>
                <w:sz w:val="20"/>
                <w:szCs w:val="20"/>
                <w:lang w:val="ru-RU" w:eastAsia="ru-RU"/>
              </w:rPr>
              <w:t>- Постановление Правительства РФ от 07.10.2020 N 1614 "Об утверждении Правил пожарной безопасности в лесах"</w:t>
            </w:r>
          </w:p>
          <w:p>
            <w:pPr>
              <w:pStyle w:val="Normal"/>
              <w:widowControl w:val="false"/>
              <w:suppressAutoHyphens w:val="true"/>
              <w:spacing w:before="0" w:after="0"/>
              <w:ind w:left="0" w:right="0" w:hanging="0"/>
              <w:jc w:val="both"/>
              <w:rPr/>
            </w:pPr>
            <w:r>
              <w:rPr>
                <w:b/>
                <w:bCs/>
                <w:sz w:val="20"/>
                <w:szCs w:val="20"/>
                <w:lang w:val="ru-RU" w:eastAsia="ru-RU"/>
              </w:rPr>
              <w:t>- Экологическая политика ПАО «РусГидро»</w:t>
            </w:r>
          </w:p>
        </w:tc>
        <w:tc>
          <w:tcPr>
            <w:tcW w:w="2652" w:type="dxa"/>
            <w:gridSpan w:val="2"/>
            <w:tcBorders/>
            <w:vAlign w:val="center"/>
          </w:tcPr>
          <w:p>
            <w:pPr>
              <w:pStyle w:val="Normal"/>
              <w:widowControl w:val="false"/>
              <w:suppressAutoHyphens w:val="true"/>
              <w:spacing w:before="0" w:after="0"/>
              <w:ind w:left="0" w:right="0" w:hanging="0"/>
              <w:jc w:val="center"/>
              <w:rPr/>
            </w:pPr>
            <w:r>
              <w:rPr>
                <w:sz w:val="20"/>
                <w:szCs w:val="20"/>
                <w:lang w:val="ru-RU" w:eastAsia="ru-RU"/>
              </w:rPr>
              <w:t>Согласие с требованием</w:t>
            </w:r>
          </w:p>
        </w:tc>
        <w:tc>
          <w:tcPr>
            <w:tcW w:w="2880" w:type="dxa"/>
            <w:gridSpan w:val="2"/>
            <w:tcBorders/>
          </w:tcPr>
          <w:p>
            <w:pPr>
              <w:pStyle w:val="Normal"/>
              <w:widowControl w:val="false"/>
              <w:suppressAutoHyphens w:val="true"/>
              <w:spacing w:before="0" w:after="0"/>
              <w:ind w:left="0" w:right="0" w:hanging="0"/>
              <w:jc w:val="center"/>
              <w:rPr>
                <w:b/>
                <w:sz w:val="20"/>
              </w:rPr>
            </w:pPr>
            <w:r>
              <w:rPr>
                <w:b/>
                <w:sz w:val="20"/>
              </w:rPr>
            </w:r>
          </w:p>
        </w:tc>
        <w:tc>
          <w:tcPr>
            <w:tcW w:w="2640" w:type="dxa"/>
            <w:tcBorders/>
          </w:tcPr>
          <w:p>
            <w:pPr>
              <w:pStyle w:val="Normal"/>
              <w:widowControl w:val="false"/>
              <w:suppressAutoHyphens w:val="true"/>
              <w:spacing w:before="0" w:after="0"/>
              <w:ind w:left="0" w:right="0" w:hanging="0"/>
              <w:rPr>
                <w:b/>
                <w:sz w:val="20"/>
              </w:rPr>
            </w:pPr>
            <w:r>
              <w:rPr>
                <w:b/>
                <w:sz w:val="20"/>
              </w:rPr>
            </w:r>
          </w:p>
        </w:tc>
        <w:tc>
          <w:tcPr>
            <w:tcW w:w="292" w:type="dxa"/>
            <w:tcBorders>
              <w:top w:val="nil"/>
              <w:left w:val="nil"/>
              <w:bottom w:val="nil"/>
              <w:right w:val="nil"/>
            </w:tcBorders>
          </w:tcPr>
          <w:p>
            <w:pPr>
              <w:pStyle w:val="Normal"/>
              <w:widowControl w:val="false"/>
              <w:suppressAutoHyphens w:val="true"/>
              <w:spacing w:before="0" w:after="0"/>
              <w:rPr>
                <w:sz w:val="20"/>
                <w:szCs w:val="20"/>
                <w:lang w:val="ru-RU" w:eastAsia="ru-RU"/>
              </w:rPr>
            </w:pPr>
            <w:r>
              <w:rPr>
                <w:sz w:val="20"/>
                <w:szCs w:val="20"/>
                <w:lang w:val="ru-RU" w:eastAsia="ru-RU"/>
              </w:rPr>
            </w:r>
          </w:p>
        </w:tc>
      </w:tr>
    </w:tbl>
    <w:p>
      <w:pPr>
        <w:sectPr>
          <w:headerReference w:type="default" r:id="rId6"/>
          <w:headerReference w:type="first" r:id="rId7"/>
          <w:type w:val="nextPage"/>
          <w:pgSz w:orient="landscape" w:w="16838" w:h="11906"/>
          <w:pgMar w:left="992" w:right="567" w:gutter="0" w:header="680" w:top="851" w:footer="0" w:bottom="851"/>
          <w:pgNumType w:fmt="decimal"/>
          <w:formProt w:val="false"/>
          <w:titlePg/>
          <w:textDirection w:val="lrTb"/>
          <w:docGrid w:type="default" w:linePitch="381" w:charSpace="0"/>
        </w:sectPr>
      </w:pPr>
    </w:p>
    <w:p>
      <w:pPr>
        <w:pStyle w:val="ListParagraph"/>
        <w:widowControl/>
        <w:snapToGrid w:val="true"/>
        <w:spacing w:before="0" w:after="0"/>
        <w:ind w:left="0" w:right="0" w:firstLine="709"/>
        <w:contextualSpacing w:val="false"/>
        <w:jc w:val="both"/>
        <w:rPr/>
      </w:pPr>
      <w:bookmarkStart w:id="29" w:name="_Toc54643710"/>
      <w:bookmarkStart w:id="30" w:name="_Toc53395937"/>
      <w:bookmarkStart w:id="31" w:name="_Toc53393312"/>
      <w:r>
        <w:rPr>
          <w:b/>
          <w:bCs/>
          <w:szCs w:val="24"/>
        </w:rPr>
        <w:t>3. Требования к документации по ценообразованию</w:t>
      </w:r>
      <w:bookmarkEnd w:id="30"/>
      <w:bookmarkEnd w:id="31"/>
      <w:r>
        <w:rPr>
          <w:b/>
          <w:bCs/>
          <w:szCs w:val="24"/>
        </w:rPr>
        <w:t xml:space="preserve"> на этапе закупки</w:t>
      </w:r>
      <w:bookmarkEnd w:id="29"/>
    </w:p>
    <w:p>
      <w:pPr>
        <w:pStyle w:val="ListParagraph"/>
        <w:spacing w:before="0" w:after="0"/>
        <w:ind w:left="0" w:right="0" w:firstLine="709"/>
        <w:contextualSpacing w:val="false"/>
        <w:jc w:val="both"/>
        <w:rPr/>
      </w:pPr>
      <w:r>
        <w:rPr>
          <w:szCs w:val="24"/>
        </w:rPr>
        <w:t>3.1. В обоснование стоимости своей заявки Участник предоставляет Коммерческое предложение, по установленным в Документации о закупке формам (с учетом прилагаемых к ним инструкций по заполнению).</w:t>
      </w:r>
    </w:p>
    <w:p>
      <w:pPr>
        <w:pStyle w:val="ListParagraph"/>
        <w:spacing w:before="0" w:after="0"/>
        <w:ind w:left="0" w:right="0" w:firstLine="709"/>
        <w:contextualSpacing w:val="false"/>
        <w:jc w:val="both"/>
        <w:rPr/>
      </w:pPr>
      <w:r>
        <w:rPr>
          <w:szCs w:val="24"/>
        </w:rPr>
        <w:t>3.2. Стоимость за единицу продукции (услуги) должна включать в себя налоги, сборы, пошлины и другие обязательные платежи, стоимость расходных материалов, используемых при оказании услуг, расходы на содержание, эксплуатацию, перебазировку спецоборудования и инструментов, и прочие расходы, связанные с оказанием услуг</w:t>
      </w:r>
    </w:p>
    <w:p>
      <w:pPr>
        <w:pStyle w:val="ListParagraph"/>
        <w:spacing w:before="0" w:after="0"/>
        <w:ind w:left="0" w:right="0" w:firstLine="709"/>
        <w:contextualSpacing w:val="false"/>
        <w:jc w:val="both"/>
        <w:rPr/>
      </w:pPr>
      <w:r>
        <w:rPr/>
      </w:r>
    </w:p>
    <w:p>
      <w:pPr>
        <w:pStyle w:val="ListParagraph"/>
        <w:spacing w:before="0" w:after="0"/>
        <w:ind w:left="0" w:right="0" w:firstLine="709"/>
        <w:contextualSpacing w:val="false"/>
        <w:jc w:val="both"/>
        <w:rPr/>
      </w:pPr>
      <w:r>
        <w:rPr>
          <w:rFonts w:eastAsia="Calibri"/>
          <w:b/>
          <w:bCs/>
          <w:szCs w:val="24"/>
        </w:rPr>
        <w:t>4. Т</w:t>
      </w:r>
      <w:bookmarkStart w:id="32" w:name="_Toc54643711"/>
      <w:bookmarkStart w:id="33" w:name="_Toc54281228"/>
      <w:r>
        <w:rPr>
          <w:rFonts w:eastAsia="Calibri"/>
          <w:b/>
          <w:bCs/>
          <w:szCs w:val="24"/>
        </w:rPr>
        <w:t>ребования к документации по ценообразованию на этапе заключения (исполн</w:t>
      </w:r>
      <w:r>
        <w:rPr>
          <w:b/>
          <w:bCs/>
          <w:szCs w:val="24"/>
        </w:rPr>
        <w:t>ения) договора</w:t>
      </w:r>
      <w:bookmarkEnd w:id="32"/>
      <w:bookmarkEnd w:id="33"/>
    </w:p>
    <w:p>
      <w:pPr>
        <w:pStyle w:val="Heading1"/>
        <w:spacing w:before="0" w:after="0"/>
        <w:ind w:left="0" w:right="0" w:firstLine="709"/>
        <w:jc w:val="both"/>
        <w:rPr/>
      </w:pPr>
      <w:r>
        <w:rPr>
          <w:rFonts w:eastAsia="Times New Roman"/>
          <w:b w:val="false"/>
          <w:sz w:val="24"/>
          <w:szCs w:val="24"/>
          <w:lang w:val="ru-RU" w:eastAsia="ru-RU"/>
        </w:rPr>
        <w:t>По результатам настоящей закупки заключается договор с предельной ценой, предложенной Участником закупки, который был признан Победителем, заявка которого соответствовала требованиям ТТ и содержала наиболее низкую цену договора.</w:t>
      </w:r>
    </w:p>
    <w:p>
      <w:pPr>
        <w:pStyle w:val="Normal"/>
        <w:spacing w:before="0" w:after="0"/>
        <w:ind w:left="0" w:right="0" w:firstLine="709"/>
        <w:jc w:val="both"/>
        <w:rPr>
          <w:rFonts w:ascii="Times New Roman" w:hAnsi="Times New Roman" w:eastAsia="Calibri" w:cs="Calibri"/>
          <w:b/>
          <w:bCs/>
          <w:color w:val="000000"/>
          <w:kern w:val="0"/>
          <w:sz w:val="24"/>
          <w:szCs w:val="24"/>
          <w:lang w:val="ru-RU" w:eastAsia="en-US" w:bidi="en-US"/>
        </w:rPr>
      </w:pPr>
      <w:r>
        <w:rPr>
          <w:rFonts w:eastAsia="Calibri" w:cs="Calibri"/>
          <w:b/>
          <w:bCs/>
          <w:color w:val="000000"/>
          <w:kern w:val="0"/>
          <w:sz w:val="24"/>
          <w:szCs w:val="24"/>
          <w:lang w:val="ru-RU" w:eastAsia="en-US" w:bidi="en-US"/>
        </w:rPr>
      </w:r>
    </w:p>
    <w:p>
      <w:pPr>
        <w:pStyle w:val="Normal"/>
        <w:spacing w:before="0" w:after="0"/>
        <w:ind w:left="0" w:right="0" w:firstLine="709"/>
        <w:jc w:val="both"/>
        <w:rPr/>
      </w:pPr>
      <w:r>
        <w:rPr>
          <w:rFonts w:eastAsia="Calibri" w:cs="Calibri"/>
          <w:b/>
          <w:bCs/>
          <w:color w:val="000000"/>
          <w:kern w:val="0"/>
          <w:sz w:val="24"/>
          <w:szCs w:val="24"/>
          <w:lang w:val="ru-RU" w:eastAsia="en-US" w:bidi="en-US"/>
        </w:rPr>
        <w:t>5. Приложения</w:t>
      </w:r>
    </w:p>
    <w:p>
      <w:pPr>
        <w:pStyle w:val="Normal"/>
        <w:spacing w:before="0" w:after="0"/>
        <w:ind w:left="0" w:right="0" w:firstLine="709"/>
        <w:jc w:val="both"/>
        <w:rPr/>
      </w:pPr>
      <w:r>
        <w:rPr>
          <w:rFonts w:eastAsia="Times New Roman"/>
          <w:b w:val="false"/>
          <w:i/>
          <w:iCs/>
          <w:sz w:val="24"/>
          <w:szCs w:val="24"/>
          <w:lang w:val="ru-RU" w:eastAsia="ru-RU"/>
        </w:rPr>
        <w:t>Приложение № 1</w:t>
      </w:r>
      <w:r>
        <w:rPr>
          <w:rFonts w:eastAsia="Times New Roman"/>
          <w:b w:val="false"/>
          <w:sz w:val="24"/>
          <w:szCs w:val="24"/>
          <w:lang w:val="ru-RU" w:eastAsia="ru-RU"/>
        </w:rPr>
        <w:t xml:space="preserve"> — Проект лесовосстановления 3-2025 Куярское</w:t>
      </w:r>
    </w:p>
    <w:p>
      <w:pPr>
        <w:pStyle w:val="Normal"/>
        <w:spacing w:before="0" w:after="0"/>
        <w:ind w:left="0" w:right="0" w:firstLine="709"/>
        <w:jc w:val="both"/>
        <w:rPr>
          <w:szCs w:val="24"/>
        </w:rPr>
      </w:pPr>
      <w:r>
        <w:rPr>
          <w:szCs w:val="24"/>
        </w:rPr>
      </w:r>
      <w:bookmarkStart w:id="34" w:name="_Toc51339699"/>
      <w:bookmarkStart w:id="35" w:name="_Toc46743519"/>
      <w:bookmarkStart w:id="36" w:name="_Toc51339699"/>
      <w:bookmarkStart w:id="37" w:name="_Toc46743519"/>
      <w:bookmarkEnd w:id="36"/>
      <w:bookmarkEnd w:id="37"/>
    </w:p>
    <w:p>
      <w:pPr>
        <w:pStyle w:val="Normal"/>
        <w:spacing w:before="0" w:after="0"/>
        <w:ind w:left="0" w:right="0" w:firstLine="709"/>
        <w:jc w:val="both"/>
        <w:rPr/>
      </w:pPr>
      <w:r>
        <w:rPr/>
      </w:r>
    </w:p>
    <w:sectPr>
      <w:headerReference w:type="default" r:id="rId8"/>
      <w:headerReference w:type="first" r:id="rId9"/>
      <w:type w:val="nextPage"/>
      <w:pgSz w:w="11906" w:h="16838"/>
      <w:pgMar w:left="1701" w:right="850" w:gutter="0" w:header="708"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Times New Roman">
    <w:charset w:val="01"/>
    <w:family w:val="swiss"/>
    <w:pitch w:val="variable"/>
  </w:font>
  <w:font w:name="Calibri Light">
    <w:charset w:val="01"/>
    <w:family w:val="roman"/>
    <w:pitch w:val="default"/>
  </w:font>
  <w:font w:name="Liberation Sans">
    <w:altName w:val="Arial"/>
    <w:charset w:val="01"/>
    <w:family w:val="roman"/>
    <w:pitch w:val="default"/>
  </w:font>
  <w:font w:name="Symbol">
    <w:charset w:val="02"/>
    <w:family w:val="auto"/>
    <w:pitch w:val="default"/>
  </w:font>
  <w:font w:name="Courier New">
    <w:charset w:val="01"/>
    <w:family w:val="modern"/>
    <w:pitch w:val="fixed"/>
  </w:font>
  <w:font w:name="Wingding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1" distT="0" distB="0" distL="0" distR="0" simplePos="0" locked="0" layoutInCell="0" allowOverlap="1" relativeHeight="2">
              <wp:simplePos x="0" y="0"/>
              <wp:positionH relativeFrom="margin">
                <wp:align>center</wp:align>
              </wp:positionH>
              <wp:positionV relativeFrom="paragraph">
                <wp:posOffset>635</wp:posOffset>
              </wp:positionV>
              <wp:extent cx="14605" cy="14605"/>
              <wp:effectExtent l="0" t="0" r="0" b="0"/>
              <wp:wrapSquare wrapText="bothSides"/>
              <wp:docPr id="1" name="Врезка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rIns="0" tIns="0" bIns="0" anchor="t">
                      <a:noAutofit/>
                    </wps:bodyPr>
                  </wps:wsp>
                </a:graphicData>
              </a:graphic>
            </wp:anchor>
          </w:drawing>
        </mc:Choice>
        <mc:Fallback>
          <w:pict>
            <v:rect id="shape_0" ID="Врезка1" path="m0,0l-2147483645,0l-2147483645,-2147483646l0,-2147483646xe" stroked="f" o:allowincell="f" style="position:absolute;margin-left:0pt;margin-top:0.05pt;width:1.1pt;height:1.1pt;mso-wrap-style:square;v-text-anchor:top;mso-position-horizontal:center;mso-position-horizontal-relative:margin">
              <v:fill o:detectmouseclick="t" on="false"/>
              <v:stroke color="#3465a4" joinstyle="round" endcap="flat"/>
              <v:textbox>
                <w:txbxContent>
                  <w:p>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8</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13</w:t>
    </w:r>
    <w:r>
      <w:rPr/>
      <w:fldChar w:fldCharType="end"/>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14</w:t>
    </w:r>
    <w:r>
      <w:rPr/>
      <w:fldChar w:fldCharType="end"/>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360" w:hanging="360"/>
      </w:pPr>
      <w:rPr>
        <w:sz w:val="20"/>
        <w:b/>
        <w:szCs w:val="20"/>
        <w:bCs w:val="false"/>
      </w:rPr>
    </w:lvl>
    <w:lvl w:ilvl="1">
      <w:start w:val="1"/>
      <w:numFmt w:val="decimal"/>
      <w:lvlText w:val="%1.%2."/>
      <w:lvlJc w:val="left"/>
      <w:pPr>
        <w:tabs>
          <w:tab w:val="num" w:pos="0"/>
        </w:tabs>
        <w:ind w:left="792" w:hanging="432"/>
      </w:pPr>
      <w:rPr>
        <w:sz w:val="20"/>
        <w:b/>
        <w:szCs w:val="20"/>
        <w:bCs w:val="false"/>
      </w:rPr>
    </w:lvl>
    <w:lvl w:ilvl="2">
      <w:start w:val="1"/>
      <w:numFmt w:val="decimal"/>
      <w:lvlText w:val="%1.%2.%3."/>
      <w:lvlJc w:val="left"/>
      <w:pPr>
        <w:tabs>
          <w:tab w:val="num" w:pos="0"/>
        </w:tabs>
        <w:ind w:left="1214" w:hanging="504"/>
      </w:pPr>
      <w:rPr>
        <w:sz w:val="20"/>
        <w:szCs w:val="2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720" w:hanging="360"/>
      </w:pPr>
      <w:rPr>
        <w:b/>
        <w:bCs/>
        <w:rFonts w:ascii="Times New Roman" w:hAnsi="Times New Roman"/>
      </w:rPr>
    </w:lvl>
    <w:lvl w:ilvl="1">
      <w:start w:val="1"/>
      <w:numFmt w:val="decimal"/>
      <w:lvlText w:val="%1.%2."/>
      <w:lvlJc w:val="left"/>
      <w:pPr>
        <w:tabs>
          <w:tab w:val="num" w:pos="0"/>
        </w:tabs>
        <w:ind w:left="1425" w:hanging="432"/>
      </w:pPr>
      <w:rPr>
        <w:sz w:val="24"/>
        <w:b/>
        <w:szCs w:val="24"/>
        <w:bCs/>
        <w:rFonts w:ascii="Times New Roman" w:hAnsi="Times New Roman"/>
      </w:rPr>
    </w:lvl>
    <w:lvl w:ilvl="2">
      <w:start w:val="1"/>
      <w:numFmt w:val="decimal"/>
      <w:lvlText w:val="%1.%2.%3."/>
      <w:lvlJc w:val="left"/>
      <w:pPr>
        <w:tabs>
          <w:tab w:val="num" w:pos="0"/>
        </w:tabs>
        <w:ind w:left="1781" w:hanging="504"/>
      </w:pPr>
      <w:rPr/>
    </w:lvl>
    <w:lvl w:ilvl="3">
      <w:start w:val="1"/>
      <w:numFmt w:val="decimal"/>
      <w:lvlText w:val="%1.%2.%3.%4."/>
      <w:lvlJc w:val="left"/>
      <w:pPr>
        <w:tabs>
          <w:tab w:val="num" w:pos="0"/>
        </w:tabs>
        <w:ind w:left="790" w:hanging="648"/>
      </w:pPr>
      <w:rPr/>
    </w:lvl>
    <w:lvl w:ilvl="4">
      <w:start w:val="1"/>
      <w:numFmt w:val="decimal"/>
      <w:lvlText w:val="%1.%2.%3.%4.%5."/>
      <w:lvlJc w:val="left"/>
      <w:pPr>
        <w:tabs>
          <w:tab w:val="num" w:pos="0"/>
        </w:tabs>
        <w:ind w:left="2592" w:hanging="792"/>
      </w:pPr>
      <w:rPr/>
    </w:lvl>
    <w:lvl w:ilvl="5">
      <w:start w:val="1"/>
      <w:numFmt w:val="decimal"/>
      <w:lvlText w:val="%1.%2.%3.%4.%5.%6."/>
      <w:lvlJc w:val="left"/>
      <w:pPr>
        <w:tabs>
          <w:tab w:val="num" w:pos="0"/>
        </w:tabs>
        <w:ind w:left="3096" w:hanging="936"/>
      </w:pPr>
      <w:rPr/>
    </w:lvl>
    <w:lvl w:ilvl="6">
      <w:start w:val="1"/>
      <w:numFmt w:val="decimal"/>
      <w:lvlText w:val="%1.%2.%3.%4.%5.%6.%7."/>
      <w:lvlJc w:val="left"/>
      <w:pPr>
        <w:tabs>
          <w:tab w:val="num" w:pos="0"/>
        </w:tabs>
        <w:ind w:left="3600" w:hanging="1080"/>
      </w:pPr>
      <w:rPr/>
    </w:lvl>
    <w:lvl w:ilvl="7">
      <w:start w:val="1"/>
      <w:numFmt w:val="decimal"/>
      <w:lvlText w:val="%1.%2.%3.%4.%5.%6.%7.%8."/>
      <w:lvlJc w:val="left"/>
      <w:pPr>
        <w:tabs>
          <w:tab w:val="num" w:pos="0"/>
        </w:tabs>
        <w:ind w:left="4104" w:hanging="1224"/>
      </w:pPr>
      <w:rPr/>
    </w:lvl>
    <w:lvl w:ilvl="8">
      <w:start w:val="1"/>
      <w:numFmt w:val="decimal"/>
      <w:lvlText w:val="%1.%2.%3.%4.%5.%6.%7.%8.%9."/>
      <w:lvlJc w:val="left"/>
      <w:pPr>
        <w:tabs>
          <w:tab w:val="num" w:pos="0"/>
        </w:tabs>
        <w:ind w:left="4680" w:hanging="1440"/>
      </w:pPr>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60"/>
  <w:defaultTabStop w:val="708"/>
  <w:autoHyphenation w:val="true"/>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ru-RU"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35015"/>
    <w:pPr>
      <w:widowControl w:val="false"/>
      <w:suppressAutoHyphens w:val="true"/>
      <w:bidi w:val="0"/>
      <w:snapToGrid w:val="false"/>
      <w:spacing w:before="0" w:after="0"/>
      <w:ind w:firstLine="397"/>
      <w:jc w:val="both"/>
    </w:pPr>
    <w:rPr>
      <w:rFonts w:ascii="Times New Roman" w:hAnsi="Times New Roman" w:eastAsia="Times New Roman" w:cs="Calibri"/>
      <w:color w:val="000000"/>
      <w:kern w:val="0"/>
      <w:sz w:val="24"/>
      <w:szCs w:val="22"/>
      <w:lang w:val="ru-RU" w:eastAsia="en-US" w:bidi="en-US"/>
    </w:rPr>
  </w:style>
  <w:style w:type="paragraph" w:styleId="Heading1">
    <w:name w:val="Heading 1"/>
    <w:basedOn w:val="Heading3"/>
    <w:next w:val="Normal"/>
    <w:link w:val="1"/>
    <w:qFormat/>
    <w:rsid w:val="008839f2"/>
    <w:pPr>
      <w:keepLines w:val="false"/>
      <w:widowControl/>
      <w:snapToGrid w:val="true"/>
      <w:spacing w:before="120" w:after="60"/>
      <w:ind w:hanging="0"/>
      <w:jc w:val="left"/>
      <w:outlineLvl w:val="0"/>
    </w:pPr>
    <w:rPr>
      <w:rFonts w:ascii="Times New Roman" w:hAnsi="Times New Roman" w:eastAsia="Calibri" w:cs="Times New Roman"/>
      <w:b/>
      <w:color w:val="auto"/>
      <w:sz w:val="28"/>
      <w:szCs w:val="28"/>
      <w:lang w:val="x-none" w:eastAsia="x-none" w:bidi="ar-SA"/>
    </w:rPr>
  </w:style>
  <w:style w:type="paragraph" w:styleId="Heading3">
    <w:name w:val="Heading 3"/>
    <w:basedOn w:val="Normal"/>
    <w:next w:val="Normal"/>
    <w:link w:val="3"/>
    <w:uiPriority w:val="9"/>
    <w:semiHidden/>
    <w:unhideWhenUsed/>
    <w:qFormat/>
    <w:rsid w:val="008839f2"/>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Cs w:val="24"/>
    </w:rPr>
  </w:style>
  <w:style w:type="character" w:styleId="DefaultParagraphFont" w:default="1">
    <w:name w:val="Default Paragraph Font"/>
    <w:uiPriority w:val="1"/>
    <w:unhideWhenUsed/>
    <w:qFormat/>
    <w:rPr/>
  </w:style>
  <w:style w:type="character" w:styleId="Style7" w:customStyle="1">
    <w:name w:val="Верхний колонтитул Знак"/>
    <w:basedOn w:val="DefaultParagraphFont"/>
    <w:uiPriority w:val="99"/>
    <w:semiHidden/>
    <w:qFormat/>
    <w:rsid w:val="00935015"/>
    <w:rPr>
      <w:rFonts w:ascii="Times New Roman" w:hAnsi="Times New Roman" w:eastAsia="Times New Roman" w:cs="Calibri"/>
      <w:color w:val="000000"/>
      <w:kern w:val="0"/>
      <w:sz w:val="24"/>
      <w:lang w:bidi="en-US"/>
    </w:rPr>
  </w:style>
  <w:style w:type="character" w:styleId="Pagenumber">
    <w:name w:val="page number"/>
    <w:basedOn w:val="DefaultParagraphFont"/>
    <w:qFormat/>
    <w:rsid w:val="00935015"/>
    <w:rPr/>
  </w:style>
  <w:style w:type="character" w:styleId="Hyperlink">
    <w:name w:val="Hyperlink"/>
    <w:basedOn w:val="DefaultParagraphFont"/>
    <w:uiPriority w:val="99"/>
    <w:unhideWhenUsed/>
    <w:rsid w:val="00935015"/>
    <w:rPr>
      <w:color w:val="0563C1" w:themeColor="hyperlink"/>
      <w:u w:val="single"/>
    </w:rPr>
  </w:style>
  <w:style w:type="character" w:styleId="UnresolvedMention">
    <w:name w:val="Unresolved Mention"/>
    <w:basedOn w:val="DefaultParagraphFont"/>
    <w:uiPriority w:val="99"/>
    <w:semiHidden/>
    <w:unhideWhenUsed/>
    <w:qFormat/>
    <w:rsid w:val="00935015"/>
    <w:rPr>
      <w:color w:val="605E5C"/>
      <w:shd w:fill="E1DFDD" w:val="clear"/>
    </w:rPr>
  </w:style>
  <w:style w:type="character" w:styleId="1" w:customStyle="1">
    <w:name w:val="Заголовок 1 Знак"/>
    <w:basedOn w:val="DefaultParagraphFont"/>
    <w:qFormat/>
    <w:rsid w:val="008839f2"/>
    <w:rPr>
      <w:rFonts w:ascii="Times New Roman" w:hAnsi="Times New Roman" w:eastAsia="Calibri" w:cs="Times New Roman"/>
      <w:b/>
      <w:kern w:val="0"/>
      <w:sz w:val="28"/>
      <w:szCs w:val="28"/>
      <w:lang w:val="x-none" w:eastAsia="x-none"/>
    </w:rPr>
  </w:style>
  <w:style w:type="character" w:styleId="Style8" w:customStyle="1">
    <w:name w:val="Абзац списка Знак"/>
    <w:link w:val="ListParagraph"/>
    <w:uiPriority w:val="34"/>
    <w:qFormat/>
    <w:locked/>
    <w:rsid w:val="008839f2"/>
    <w:rPr>
      <w:rFonts w:ascii="Times New Roman" w:hAnsi="Times New Roman" w:eastAsia="Times New Roman" w:cs="Calibri"/>
      <w:color w:val="000000"/>
      <w:kern w:val="0"/>
      <w:sz w:val="24"/>
      <w:lang w:bidi="en-US"/>
    </w:rPr>
  </w:style>
  <w:style w:type="character" w:styleId="3" w:customStyle="1">
    <w:name w:val="Заголовок 3 Знак"/>
    <w:basedOn w:val="DefaultParagraphFont"/>
    <w:uiPriority w:val="9"/>
    <w:semiHidden/>
    <w:qFormat/>
    <w:rsid w:val="008839f2"/>
    <w:rPr>
      <w:rFonts w:ascii="Calibri Light" w:hAnsi="Calibri Light" w:eastAsia="" w:cs="" w:asciiTheme="majorHAnsi" w:cstheme="majorBidi" w:eastAsiaTheme="majorEastAsia" w:hAnsiTheme="majorHAnsi"/>
      <w:color w:val="1F3763" w:themeColor="accent1" w:themeShade="7f"/>
      <w:kern w:val="0"/>
      <w:sz w:val="24"/>
      <w:szCs w:val="24"/>
      <w:lang w:bidi="en-US"/>
    </w:rPr>
  </w:style>
  <w:style w:type="paragraph" w:styleId="Style9">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0">
    <w:name w:val="Указатель"/>
    <w:basedOn w:val="Normal"/>
    <w:qFormat/>
    <w:pPr>
      <w:suppressLineNumbers/>
    </w:pPr>
    <w:rPr/>
  </w:style>
  <w:style w:type="paragraph" w:styleId="Title">
    <w:name w:val="Title"/>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
    <w:name w:val="caption1"/>
    <w:basedOn w:val="Normal"/>
    <w:qFormat/>
    <w:pPr>
      <w:suppressLineNumbers/>
      <w:spacing w:before="120" w:after="120"/>
    </w:pPr>
    <w:rPr>
      <w:i/>
      <w:iCs/>
      <w:szCs w:val="24"/>
    </w:rPr>
  </w:style>
  <w:style w:type="paragraph" w:styleId="Indexheading">
    <w:name w:val="index heading"/>
    <w:basedOn w:val="Normal"/>
    <w:qFormat/>
    <w:pPr>
      <w:suppressLineNumbers/>
    </w:pPr>
    <w:rPr/>
  </w:style>
  <w:style w:type="paragraph" w:styleId="Style11" w:customStyle="1">
    <w:name w:val="Колонтитул"/>
    <w:basedOn w:val="Normal"/>
    <w:qFormat/>
    <w:pPr/>
    <w:rPr/>
  </w:style>
  <w:style w:type="paragraph" w:styleId="Header">
    <w:name w:val="Header"/>
    <w:basedOn w:val="Normal"/>
    <w:link w:val="Style7"/>
    <w:uiPriority w:val="99"/>
    <w:semiHidden/>
    <w:unhideWhenUsed/>
    <w:rsid w:val="00935015"/>
    <w:pPr>
      <w:tabs>
        <w:tab w:val="clear" w:pos="708"/>
        <w:tab w:val="center" w:pos="4677" w:leader="none"/>
        <w:tab w:val="right" w:pos="9355" w:leader="none"/>
      </w:tabs>
    </w:pPr>
    <w:rPr/>
  </w:style>
  <w:style w:type="paragraph" w:styleId="NoSpacing">
    <w:name w:val="No Spacing"/>
    <w:uiPriority w:val="1"/>
    <w:qFormat/>
    <w:rsid w:val="00e24123"/>
    <w:pPr>
      <w:widowControl w:val="false"/>
      <w:suppressAutoHyphens w:val="true"/>
      <w:bidi w:val="0"/>
      <w:snapToGrid w:val="false"/>
      <w:spacing w:before="0" w:after="0"/>
      <w:ind w:firstLine="397"/>
      <w:jc w:val="both"/>
    </w:pPr>
    <w:rPr>
      <w:rFonts w:ascii="Times New Roman" w:hAnsi="Times New Roman" w:eastAsia="Times New Roman" w:cs="Calibri"/>
      <w:color w:val="000000"/>
      <w:kern w:val="0"/>
      <w:sz w:val="24"/>
      <w:szCs w:val="22"/>
      <w:lang w:val="ru-RU" w:eastAsia="en-US" w:bidi="en-US"/>
    </w:rPr>
  </w:style>
  <w:style w:type="paragraph" w:styleId="ListParagraph">
    <w:name w:val="List Paragraph"/>
    <w:basedOn w:val="Normal"/>
    <w:link w:val="Style8"/>
    <w:uiPriority w:val="34"/>
    <w:qFormat/>
    <w:rsid w:val="008a2514"/>
    <w:pPr>
      <w:spacing w:before="0" w:after="0"/>
      <w:ind w:left="720" w:firstLine="397"/>
      <w:contextualSpacing/>
    </w:pPr>
    <w:rPr/>
  </w:style>
  <w:style w:type="paragraph" w:styleId="Style12" w:customStyle="1">
    <w:name w:val="Содержимое врезки"/>
    <w:basedOn w:val="Normal"/>
    <w:qFormat/>
    <w:pPr/>
    <w:rPr/>
  </w:style>
  <w:style w:type="paragraph" w:styleId="Style13" w:customStyle="1">
    <w:name w:val="Содержимое таблицы"/>
    <w:basedOn w:val="Normal"/>
    <w:qFormat/>
    <w:pPr>
      <w:suppressLineNumbers/>
    </w:pPr>
    <w:rPr/>
  </w:style>
  <w:style w:type="paragraph" w:styleId="Style14" w:customStyle="1">
    <w:name w:val="Заголовок таблицы"/>
    <w:basedOn w:val="Style13"/>
    <w:qFormat/>
    <w:pPr>
      <w:jc w:val="center"/>
    </w:pPr>
    <w:rPr>
      <w:b/>
      <w:bCs/>
    </w:rPr>
  </w:style>
  <w:style w:type="numbering" w:styleId="NoList" w:default="1">
    <w:name w:val="No List"/>
    <w:uiPriority w:val="99"/>
    <w:semiHidden/>
    <w:unhideWhenUsed/>
    <w:qFormat/>
  </w:style>
  <w:style w:type="numbering" w:styleId="2" w:customStyle="1">
    <w:name w:val="Стиль2"/>
    <w:uiPriority w:val="99"/>
    <w:qFormat/>
    <w:rsid w:val="00935015"/>
  </w:style>
  <w:style w:type="table" w:default="1" w:styleId="a1">
    <w:name w:val="Normal Table"/>
    <w:uiPriority w:val="99"/>
    <w:semiHidden/>
    <w:unhideWhenUsed/>
    <w:tblPr>
      <w:tblCellMar>
        <w:top w:w="0" w:type="dxa"/>
        <w:left w:w="108" w:type="dxa"/>
        <w:bottom w:w="0" w:type="dxa"/>
        <w:right w:w="108" w:type="dxa"/>
      </w:tblCellMar>
    </w:tblPr>
  </w:style>
  <w:style w:type="table" w:styleId="af4">
    <w:name w:val="Table Grid"/>
    <w:basedOn w:val="a1"/>
    <w:uiPriority w:val="39"/>
    <w:rsid w:val="00935015"/>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AEE2B5914A6FAD38732020D2E85188D93AD1EC08984E6CAC16A788F67060889B74D2D7319D33D790DD2DDA1482D6162360BD2894713A108v6J9H"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header" Target="header4.xml"/><Relationship Id="rId7" Type="http://schemas.openxmlformats.org/officeDocument/2006/relationships/header" Target="header5.xml"/><Relationship Id="rId8" Type="http://schemas.openxmlformats.org/officeDocument/2006/relationships/header" Target="header6.xml"/><Relationship Id="rId9" Type="http://schemas.openxmlformats.org/officeDocument/2006/relationships/header" Target="header7.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566</TotalTime>
  <Application>AlterOffice/3.4.0.9$Linux_X86_64 LibreOffice_project/b8daf9e823b1a5463a2f48435ddc2e8696e7d4fc</Application>
  <AppVersion>15.0000</AppVersion>
  <Pages>14</Pages>
  <Words>3622</Words>
  <Characters>24910</Characters>
  <CharactersWithSpaces>28179</CharactersWithSpaces>
  <Paragraphs>376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2024-07-29T00:55:00Z</dcterms:created>
  <dc:creator>Якушева Надежда Сергеевна</dc:creator>
  <dc:description/>
  <dc:language>ru-RU</dc:language>
  <cp:lastModifiedBy>kabakovaes</cp:lastModifiedBy>
  <cp:lastPrinted>2024-08-27T06:07:00Z</cp:lastPrinted>
  <dcterms:modified xsi:type="dcterms:W3CDTF">2026-05-14T13:40:10Z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file>